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12" w:rsidRDefault="00A06B09" w:rsidP="00202112">
      <w:pPr>
        <w:suppressAutoHyphens/>
        <w:jc w:val="right"/>
        <w:rPr>
          <w:rFonts w:ascii="Calibri" w:hAnsi="Calibri"/>
          <w:b/>
          <w:i w:val="0"/>
          <w:iCs w:val="0"/>
          <w:sz w:val="22"/>
          <w:szCs w:val="22"/>
        </w:rPr>
      </w:pPr>
      <w:r>
        <w:rPr>
          <w:rFonts w:ascii="Calibri" w:hAnsi="Calibri"/>
          <w:b/>
          <w:i w:val="0"/>
          <w:iCs w:val="0"/>
          <w:sz w:val="22"/>
          <w:szCs w:val="22"/>
        </w:rPr>
        <w:t xml:space="preserve">Załącznik </w:t>
      </w:r>
      <w:r w:rsidR="00202112">
        <w:rPr>
          <w:rFonts w:ascii="Calibri" w:hAnsi="Calibri"/>
          <w:b/>
          <w:i w:val="0"/>
          <w:iCs w:val="0"/>
          <w:sz w:val="22"/>
          <w:szCs w:val="22"/>
        </w:rPr>
        <w:t>Nr 1</w:t>
      </w:r>
    </w:p>
    <w:p w:rsidR="00202112" w:rsidRDefault="0000163D" w:rsidP="00202112">
      <w:pPr>
        <w:suppressAutoHyphens/>
        <w:jc w:val="right"/>
        <w:rPr>
          <w:rFonts w:ascii="Calibri" w:hAnsi="Calibri"/>
          <w:b/>
          <w:i w:val="0"/>
          <w:iCs w:val="0"/>
          <w:sz w:val="22"/>
          <w:szCs w:val="22"/>
        </w:rPr>
      </w:pPr>
      <w:r w:rsidRPr="0036698F">
        <w:rPr>
          <w:rFonts w:ascii="Calibri" w:hAnsi="Calibri"/>
          <w:b/>
          <w:i w:val="0"/>
          <w:iCs w:val="0"/>
          <w:sz w:val="22"/>
          <w:szCs w:val="22"/>
        </w:rPr>
        <w:t xml:space="preserve">do decyzji </w:t>
      </w:r>
      <w:r w:rsidR="00C565C0">
        <w:rPr>
          <w:rFonts w:ascii="Calibri" w:hAnsi="Calibri"/>
          <w:b/>
          <w:i w:val="0"/>
          <w:iCs w:val="0"/>
          <w:sz w:val="22"/>
          <w:szCs w:val="22"/>
        </w:rPr>
        <w:t>Nr OŚiGW.6220.6</w:t>
      </w:r>
      <w:r w:rsidR="002133E3">
        <w:rPr>
          <w:rFonts w:ascii="Calibri" w:hAnsi="Calibri"/>
          <w:b/>
          <w:i w:val="0"/>
          <w:iCs w:val="0"/>
          <w:sz w:val="22"/>
          <w:szCs w:val="22"/>
        </w:rPr>
        <w:t>.2021</w:t>
      </w:r>
    </w:p>
    <w:p w:rsidR="00202112" w:rsidRPr="00202112" w:rsidRDefault="00202112" w:rsidP="00202112">
      <w:pPr>
        <w:suppressAutoHyphens/>
        <w:jc w:val="right"/>
        <w:rPr>
          <w:rFonts w:ascii="Times New Roman" w:eastAsia="Lucida Sans Unicode" w:hAnsi="Times New Roman" w:cs="Times New Roman"/>
          <w:i w:val="0"/>
          <w:iCs w:val="0"/>
          <w:color w:val="000000"/>
          <w:sz w:val="24"/>
          <w:szCs w:val="24"/>
          <w:lang w:bidi="en-US"/>
        </w:rPr>
      </w:pPr>
      <w:r w:rsidRPr="00B86ADC">
        <w:rPr>
          <w:rFonts w:ascii="Calibri" w:hAnsi="Calibri"/>
          <w:i w:val="0"/>
          <w:iCs w:val="0"/>
          <w:sz w:val="22"/>
          <w:szCs w:val="22"/>
        </w:rPr>
        <w:t>zgodnie z art. 84 ust. 2 ustaw</w:t>
      </w:r>
      <w:r w:rsidR="006728F7">
        <w:rPr>
          <w:rFonts w:ascii="Calibri" w:hAnsi="Calibri"/>
          <w:i w:val="0"/>
          <w:iCs w:val="0"/>
          <w:sz w:val="22"/>
          <w:szCs w:val="22"/>
        </w:rPr>
        <w:t xml:space="preserve">y z dnia 3 października 2008r. </w:t>
      </w:r>
      <w:r w:rsidR="00B86ADC">
        <w:rPr>
          <w:rFonts w:ascii="Calibri" w:hAnsi="Calibri"/>
          <w:i w:val="0"/>
          <w:iCs w:val="0"/>
          <w:sz w:val="22"/>
          <w:szCs w:val="22"/>
        </w:rPr>
        <w:t>o udostępnianiu informacji o środowisku i </w:t>
      </w:r>
      <w:r w:rsidRPr="00B86ADC">
        <w:rPr>
          <w:rFonts w:ascii="Calibri" w:hAnsi="Calibri"/>
          <w:i w:val="0"/>
          <w:iCs w:val="0"/>
          <w:sz w:val="22"/>
          <w:szCs w:val="22"/>
        </w:rPr>
        <w:t xml:space="preserve">jego ochronie, udziale społeczeństwa w ochronie środowiska </w:t>
      </w:r>
      <w:r w:rsidR="00B86ADC">
        <w:rPr>
          <w:rFonts w:ascii="Calibri" w:hAnsi="Calibri"/>
          <w:i w:val="0"/>
          <w:iCs w:val="0"/>
          <w:sz w:val="22"/>
          <w:szCs w:val="22"/>
        </w:rPr>
        <w:t>oraz o ocenach oddziaływania na </w:t>
      </w:r>
      <w:r w:rsidRPr="00B86ADC">
        <w:rPr>
          <w:rFonts w:ascii="Calibri" w:hAnsi="Calibri"/>
          <w:i w:val="0"/>
          <w:iCs w:val="0"/>
          <w:sz w:val="22"/>
          <w:szCs w:val="22"/>
        </w:rPr>
        <w:t>środowisko</w:t>
      </w:r>
      <w:r w:rsidRPr="00202112">
        <w:rPr>
          <w:rFonts w:ascii="Times New Roman" w:eastAsia="Lucida Sans Unicode" w:hAnsi="Times New Roman" w:cs="Times New Roman"/>
          <w:bCs/>
          <w:i w:val="0"/>
          <w:iCs w:val="0"/>
          <w:color w:val="000000"/>
          <w:sz w:val="24"/>
          <w:szCs w:val="24"/>
          <w:lang w:eastAsia="ar-SA" w:bidi="en-US"/>
        </w:rPr>
        <w:t xml:space="preserve"> </w:t>
      </w:r>
      <w:r w:rsidR="002133E3">
        <w:rPr>
          <w:rFonts w:ascii="Times New Roman" w:eastAsiaTheme="minorEastAsia" w:hAnsi="Times New Roman" w:cstheme="minorBidi"/>
          <w:iCs w:val="0"/>
          <w:sz w:val="24"/>
          <w:szCs w:val="24"/>
        </w:rPr>
        <w:t>(tekst jedn. Dz. U. z 2021</w:t>
      </w:r>
      <w:r w:rsidR="00881D7C">
        <w:rPr>
          <w:rFonts w:ascii="Times New Roman" w:eastAsiaTheme="minorEastAsia" w:hAnsi="Times New Roman" w:cstheme="minorBidi"/>
          <w:iCs w:val="0"/>
          <w:sz w:val="24"/>
          <w:szCs w:val="24"/>
        </w:rPr>
        <w:t>r., poz.2</w:t>
      </w:r>
      <w:r w:rsidR="002133E3">
        <w:rPr>
          <w:rFonts w:ascii="Times New Roman" w:eastAsiaTheme="minorEastAsia" w:hAnsi="Times New Roman" w:cstheme="minorBidi"/>
          <w:iCs w:val="0"/>
          <w:sz w:val="24"/>
          <w:szCs w:val="24"/>
        </w:rPr>
        <w:t>47</w:t>
      </w:r>
      <w:r w:rsidRPr="00202112">
        <w:rPr>
          <w:rFonts w:ascii="Times New Roman" w:eastAsiaTheme="minorEastAsia" w:hAnsi="Times New Roman" w:cstheme="minorBidi"/>
          <w:iCs w:val="0"/>
          <w:sz w:val="24"/>
          <w:szCs w:val="24"/>
        </w:rPr>
        <w:t xml:space="preserve"> )</w:t>
      </w:r>
    </w:p>
    <w:p w:rsidR="0000163D" w:rsidRPr="0036698F" w:rsidRDefault="0000163D"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p>
    <w:p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rsidR="00B753B5" w:rsidRDefault="002133E3" w:rsidP="0000163D">
      <w:pPr>
        <w:shd w:val="clear" w:color="auto" w:fill="FFFFFF"/>
        <w:spacing w:before="360"/>
        <w:ind w:left="23" w:firstLine="685"/>
        <w:jc w:val="both"/>
        <w:rPr>
          <w:rFonts w:ascii="Calibri" w:hAnsi="Calibri" w:cs="Calibri"/>
          <w:b/>
          <w:sz w:val="22"/>
          <w:szCs w:val="22"/>
        </w:rPr>
      </w:pPr>
      <w:r>
        <w:rPr>
          <w:rFonts w:ascii="Calibri" w:hAnsi="Calibri" w:cs="Calibri"/>
          <w:b/>
          <w:sz w:val="22"/>
          <w:szCs w:val="22"/>
        </w:rPr>
        <w:t>„</w:t>
      </w:r>
      <w:r w:rsidR="00C565C0">
        <w:rPr>
          <w:rFonts w:ascii="Calibri" w:hAnsi="Calibri" w:cs="Calibri"/>
          <w:b/>
          <w:sz w:val="22"/>
          <w:szCs w:val="22"/>
        </w:rPr>
        <w:t>Przetwar</w:t>
      </w:r>
      <w:r w:rsidR="00C565C0">
        <w:rPr>
          <w:rFonts w:ascii="Calibri" w:hAnsi="Calibri" w:cs="Calibri"/>
          <w:b/>
          <w:sz w:val="22"/>
          <w:szCs w:val="22"/>
        </w:rPr>
        <w:t>zanie</w:t>
      </w:r>
      <w:r w:rsidR="00C565C0">
        <w:rPr>
          <w:rFonts w:ascii="Calibri" w:hAnsi="Calibri" w:cs="Calibri"/>
          <w:b/>
          <w:sz w:val="22"/>
          <w:szCs w:val="22"/>
        </w:rPr>
        <w:t xml:space="preserve"> odpadów na terenie nieruchomości zlokalizowanej w Górkach na działce ewidencyjnej nr 23/84 obręb Górki, gmina Kwidzyn, powiat kwidzyński</w:t>
      </w:r>
      <w:r>
        <w:rPr>
          <w:rFonts w:ascii="Calibri" w:hAnsi="Calibri" w:cs="Calibri"/>
          <w:b/>
          <w:sz w:val="22"/>
          <w:szCs w:val="22"/>
        </w:rPr>
        <w:t>”</w:t>
      </w:r>
    </w:p>
    <w:p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371FA2">
        <w:rPr>
          <w:rFonts w:asciiTheme="minorHAnsi" w:hAnsiTheme="minorHAnsi" w:cs="Calibri"/>
          <w:sz w:val="22"/>
          <w:szCs w:val="22"/>
        </w:rPr>
        <w:t>Charakterystyka planowanego przedsięwzięcia zg</w:t>
      </w:r>
      <w:r w:rsidR="003403F9">
        <w:rPr>
          <w:rFonts w:asciiTheme="minorHAnsi" w:hAnsiTheme="minorHAnsi" w:cs="Calibri"/>
          <w:sz w:val="22"/>
          <w:szCs w:val="22"/>
        </w:rPr>
        <w:t>odnie z art. 84 ust. 2 ustawy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Pr>
          <w:rFonts w:ascii="Calibri" w:hAnsi="Calibri"/>
          <w:sz w:val="22"/>
          <w:szCs w:val="22"/>
          <w:lang w:eastAsia="ar-SA"/>
        </w:rPr>
        <w:t>(</w:t>
      </w:r>
      <w:r w:rsidR="00D22F9B" w:rsidRPr="002133E3">
        <w:rPr>
          <w:rFonts w:ascii="Calibri" w:hAnsi="Calibri"/>
          <w:sz w:val="22"/>
          <w:szCs w:val="22"/>
          <w:lang w:eastAsia="ar-SA"/>
        </w:rPr>
        <w:t xml:space="preserve">tekst jedn. </w:t>
      </w:r>
      <w:r w:rsidR="002133E3" w:rsidRPr="002133E3">
        <w:rPr>
          <w:rFonts w:ascii="Calibri" w:hAnsi="Calibri"/>
          <w:sz w:val="22"/>
          <w:szCs w:val="22"/>
          <w:lang w:eastAsia="ar-SA"/>
        </w:rPr>
        <w:t>Dz. U. z 2021r., poz.247</w:t>
      </w:r>
      <w:r w:rsidR="00D22F9B" w:rsidRPr="00BE6EC7">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rsidR="0000163D" w:rsidRPr="00371FA2" w:rsidRDefault="0000163D" w:rsidP="0000163D">
      <w:pPr>
        <w:shd w:val="clear" w:color="auto" w:fill="FFFFFF"/>
        <w:ind w:left="34"/>
        <w:jc w:val="center"/>
        <w:rPr>
          <w:rFonts w:asciiTheme="minorHAnsi" w:hAnsiTheme="minorHAnsi" w:cs="Calibri"/>
          <w:b/>
          <w:i w:val="0"/>
          <w:sz w:val="22"/>
          <w:szCs w:val="22"/>
        </w:rPr>
      </w:pPr>
    </w:p>
    <w:p w:rsidR="00C565C0" w:rsidRPr="00C565C0" w:rsidRDefault="00C565C0" w:rsidP="00C565C0">
      <w:pPr>
        <w:widowControl/>
        <w:suppressAutoHyphens/>
        <w:autoSpaceDE/>
        <w:autoSpaceDN/>
        <w:adjustRightInd/>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Przedmiotem planowanej działalności będzie zbieranie i magazynowanie odpadów innych niż niebezpieczne w postaci odpadów budowlanych, w tym gleby i ziemi, następnie przetwarzanie tych odpadów. </w:t>
      </w:r>
      <w:bookmarkStart w:id="0" w:name="_GoBack"/>
      <w:bookmarkEnd w:id="0"/>
    </w:p>
    <w:p w:rsidR="00C565C0" w:rsidRPr="00C565C0" w:rsidRDefault="00C565C0" w:rsidP="00C565C0">
      <w:pPr>
        <w:widowControl/>
        <w:suppressAutoHyphens/>
        <w:autoSpaceDE/>
        <w:autoSpaceDN/>
        <w:adjustRightInd/>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Inwestycja realizowana będzie na terenie działki nr 23/84 w miejscowości Górki. Drogi technologiczne będą utwardzone tłuczniem/kruszywem lub płytami betonowymi. Miejsce przetwarzania i magazynowania odpadów jest utwardzone płytą betonową. </w:t>
      </w:r>
    </w:p>
    <w:p w:rsidR="00C565C0" w:rsidRPr="00C565C0" w:rsidRDefault="00C565C0" w:rsidP="00C565C0">
      <w:pPr>
        <w:widowControl/>
        <w:suppressAutoHyphens/>
        <w:autoSpaceDE/>
        <w:autoSpaceDN/>
        <w:adjustRightInd/>
        <w:spacing w:line="360" w:lineRule="auto"/>
        <w:jc w:val="both"/>
        <w:rPr>
          <w:rFonts w:ascii="Calibri" w:hAnsi="Calibri" w:cs="Calibri"/>
          <w:i w:val="0"/>
          <w:iCs w:val="0"/>
          <w:sz w:val="22"/>
          <w:szCs w:val="22"/>
        </w:rPr>
      </w:pPr>
    </w:p>
    <w:p w:rsidR="00C565C0" w:rsidRPr="00C565C0" w:rsidRDefault="00C565C0" w:rsidP="00C565C0">
      <w:pPr>
        <w:widowControl/>
        <w:suppressAutoHyphens/>
        <w:autoSpaceDE/>
        <w:autoSpaceDN/>
        <w:adjustRightInd/>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Przyjęte odpady będą gromadzone w wyznaczonych i oznakowanych miejscach, zlokalizowanych na wyznaczonym terenie działki ewidencyjnej nr 23/84. Odpady będą magazynowane selektywnie w hałdach w formie stożków o średnicy do 6 m i wysokości do 3 m. Magazyn odpadów budowlanych jest utwardzony - nawierzchnia betonowa. </w:t>
      </w:r>
    </w:p>
    <w:p w:rsidR="00C565C0" w:rsidRPr="00C565C0" w:rsidRDefault="00C565C0" w:rsidP="00C565C0">
      <w:pPr>
        <w:widowControl/>
        <w:suppressAutoHyphens/>
        <w:autoSpaceDE/>
        <w:autoSpaceDN/>
        <w:adjustRightInd/>
        <w:spacing w:line="360" w:lineRule="auto"/>
        <w:jc w:val="both"/>
        <w:rPr>
          <w:rFonts w:ascii="Calibri" w:hAnsi="Calibri" w:cs="Calibri"/>
          <w:i w:val="0"/>
          <w:iCs w:val="0"/>
          <w:sz w:val="22"/>
          <w:szCs w:val="22"/>
        </w:rPr>
      </w:pPr>
    </w:p>
    <w:p w:rsidR="00C565C0" w:rsidRPr="00C565C0" w:rsidRDefault="00C565C0" w:rsidP="00C565C0">
      <w:pPr>
        <w:widowControl/>
        <w:suppressAutoHyphens/>
        <w:autoSpaceDE/>
        <w:autoSpaceDN/>
        <w:adjustRightInd/>
        <w:spacing w:line="360" w:lineRule="auto"/>
        <w:jc w:val="both"/>
        <w:rPr>
          <w:rFonts w:ascii="Calibri" w:hAnsi="Calibri" w:cs="Calibri"/>
          <w:i w:val="0"/>
          <w:iCs w:val="0"/>
          <w:sz w:val="22"/>
          <w:szCs w:val="22"/>
        </w:rPr>
      </w:pPr>
      <w:r w:rsidRPr="00C565C0">
        <w:rPr>
          <w:rFonts w:ascii="Calibri" w:hAnsi="Calibri" w:cs="Calibri"/>
          <w:i w:val="0"/>
          <w:iCs w:val="0"/>
          <w:sz w:val="22"/>
          <w:szCs w:val="22"/>
        </w:rPr>
        <w:t>Magazynowanie i przetwarzanie odpadów będzie się odbywało z wykorzystaniem własnej infrastruktury technicznej, w tym: m.in. ładowarki, koparki, samochodów samowyładowczych oraz przy użyciu wynajmowanej kruszarki.</w:t>
      </w: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r w:rsidRPr="00C565C0">
        <w:rPr>
          <w:rFonts w:ascii="Calibri" w:hAnsi="Calibri" w:cs="Times New Roman"/>
          <w:i w:val="0"/>
          <w:iCs w:val="0"/>
          <w:sz w:val="22"/>
          <w:szCs w:val="22"/>
        </w:rPr>
        <w:t xml:space="preserve">Zakładana jest możliwość przetwarzania wszystkich przyjętych odpadów o ww. kodach w ilości 2920 Mg/rok. </w:t>
      </w: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r w:rsidRPr="00C565C0">
        <w:rPr>
          <w:rFonts w:ascii="Calibri" w:hAnsi="Calibri" w:cs="Times New Roman"/>
          <w:i w:val="0"/>
          <w:iCs w:val="0"/>
          <w:sz w:val="22"/>
          <w:szCs w:val="22"/>
        </w:rPr>
        <w:t xml:space="preserve">Ilość jednocześnie magazynowanych  odpadów  nie przekroczy 1460 Mg. </w:t>
      </w: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r w:rsidRPr="00C565C0">
        <w:rPr>
          <w:rFonts w:ascii="Calibri" w:hAnsi="Calibri" w:cs="Times New Roman"/>
          <w:i w:val="0"/>
          <w:iCs w:val="0"/>
          <w:sz w:val="22"/>
          <w:szCs w:val="22"/>
        </w:rPr>
        <w:t xml:space="preserve">Odpady będą wytwarzane i transportowane do zakładu przez Wnioskodawcę lub dostarczane przez podmioty zewnętrzne (wytwórców odpadów lub transportujących odpady). Zmagazynowane na </w:t>
      </w:r>
      <w:r w:rsidRPr="00C565C0">
        <w:rPr>
          <w:rFonts w:ascii="Calibri" w:hAnsi="Calibri" w:cs="Times New Roman"/>
          <w:i w:val="0"/>
          <w:iCs w:val="0"/>
          <w:sz w:val="22"/>
          <w:szCs w:val="22"/>
        </w:rPr>
        <w:lastRenderedPageBreak/>
        <w:t xml:space="preserve">placu odpady będą poddawane procesowi przetwarzania, poprzez ich kruszenie w kruszarce. Przetworzone jednorodne porcje odpadu będą poddawane badaniom w akredytowanym laboratorium. Po utracie statusu odpadów, produkty będą sprzedawane klientom. </w:t>
      </w: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r w:rsidRPr="00C565C0">
        <w:rPr>
          <w:rFonts w:ascii="Calibri" w:hAnsi="Calibri" w:cs="Times New Roman"/>
          <w:i w:val="0"/>
          <w:iCs w:val="0"/>
          <w:sz w:val="22"/>
          <w:szCs w:val="22"/>
        </w:rPr>
        <w:t xml:space="preserve">Jeśli poddane kruszeniu odpady nie będą spełniały norm, pozwalających na uznanie ich za produkty, wówczas będą przekazywane odbiorcom jako odpady. </w:t>
      </w: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r w:rsidRPr="00C565C0">
        <w:rPr>
          <w:rFonts w:ascii="Calibri" w:hAnsi="Calibri" w:cs="Times New Roman"/>
          <w:i w:val="0"/>
          <w:iCs w:val="0"/>
          <w:sz w:val="22"/>
          <w:szCs w:val="22"/>
        </w:rPr>
        <w:t xml:space="preserve">Teren przeznaczony na magazynowanie i przetwarzanie odpadów będzie ogrodzony. Miejsca magazynowania odpadów będą objęte systemem monitoringu wizyjnego z rejestracją. </w:t>
      </w: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p>
    <w:p w:rsidR="00C565C0" w:rsidRPr="00C565C0" w:rsidRDefault="00C565C0" w:rsidP="00C565C0">
      <w:pPr>
        <w:widowControl/>
        <w:autoSpaceDE/>
        <w:autoSpaceDN/>
        <w:adjustRightInd/>
        <w:spacing w:line="360" w:lineRule="auto"/>
        <w:contextualSpacing/>
        <w:jc w:val="both"/>
        <w:rPr>
          <w:rFonts w:ascii="Calibri" w:hAnsi="Calibri" w:cs="Times New Roman"/>
          <w:i w:val="0"/>
          <w:iCs w:val="0"/>
          <w:sz w:val="22"/>
          <w:szCs w:val="22"/>
        </w:rPr>
      </w:pPr>
      <w:r w:rsidRPr="00C565C0">
        <w:rPr>
          <w:rFonts w:ascii="Calibri" w:hAnsi="Calibri" w:cs="Times New Roman"/>
          <w:i w:val="0"/>
          <w:iCs w:val="0"/>
          <w:sz w:val="22"/>
          <w:szCs w:val="22"/>
        </w:rPr>
        <w:t>Na etapie funkcjonowania przedsięwzięcia zakłada się zatrudnienie do 3 osób. Praca planowana jest w systemie jednozmianowym, przez 6 dni w tygodniu.</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Planowane przedsięwzięcie realizowane będzie na terenie działki ewidencyjnej nr 23/84 obręb Górki w miejscowości Górki, gmina Kwidzyn. Działka ma powierzchnię 1,0018 ha. Zgodnie z danymi, zawartymi w rejestrze gruntów, przedmiotowa nieruchomość gruntowa oznaczona jest jako RV- grunty orne.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Nieruchomość jest zlokalizowana w odległości około 200 m na południe od drogi wojewódzkiej nr 521 oraz w odległości około 300 m na wschód od granic administracyjnych miasta Kwidzyn. Od strony zachodniej w odległości około 700,m przepływa rzeka Liwa.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Przedmiotowa nieruchomość znajduje się na terenie przemysłowo-usługowo-produkcyjnym. Od północy i wschodu tereny aktualnie są zabudowane budynkami przemysłowymi, od południa nieruchomość graniczy z terenami przeznaczonymi pod taką działalność, a dalej z lasem. Od zachodu działka graniczy z terenami przemysłowymi, za którymi zlokalizowane są zabudowania mieszkalne oraz rzeka Liwa. Dojazd do nieruchomości prowadzi z drogi wojewódzkiej nr 521, poprzez drogę publiczną, dojazdową.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Teren inwestycji jest przekształcony przez człowieka Na przedmiotowym terenie, na działce nr 23/84 występuje roślinność charakterystyczna dla terenów przekształconych antropogenicznie. Ponadto odnotowano obecność drzew z gatunków topola kanadyjska </w:t>
      </w:r>
      <w:proofErr w:type="spellStart"/>
      <w:r w:rsidRPr="00C565C0">
        <w:rPr>
          <w:rFonts w:ascii="Calibri" w:hAnsi="Calibri" w:cs="Calibri"/>
          <w:iCs w:val="0"/>
          <w:sz w:val="22"/>
          <w:szCs w:val="22"/>
        </w:rPr>
        <w:t>Populus</w:t>
      </w:r>
      <w:proofErr w:type="spellEnd"/>
      <w:r w:rsidRPr="00C565C0">
        <w:rPr>
          <w:rFonts w:ascii="Calibri" w:hAnsi="Calibri" w:cs="Calibri"/>
          <w:iCs w:val="0"/>
          <w:sz w:val="22"/>
          <w:szCs w:val="22"/>
        </w:rPr>
        <w:t xml:space="preserve"> </w:t>
      </w:r>
      <w:proofErr w:type="spellStart"/>
      <w:r w:rsidRPr="00C565C0">
        <w:rPr>
          <w:rFonts w:ascii="Calibri" w:hAnsi="Calibri" w:cs="Calibri"/>
          <w:iCs w:val="0"/>
          <w:sz w:val="22"/>
          <w:szCs w:val="22"/>
        </w:rPr>
        <w:t>xcanadensis</w:t>
      </w:r>
      <w:proofErr w:type="spellEnd"/>
      <w:r w:rsidRPr="00C565C0">
        <w:rPr>
          <w:rFonts w:ascii="Calibri" w:hAnsi="Calibri" w:cs="Calibri"/>
          <w:i w:val="0"/>
          <w:iCs w:val="0"/>
          <w:sz w:val="22"/>
          <w:szCs w:val="22"/>
        </w:rPr>
        <w:t xml:space="preserve"> MOENCH i kasztanowiec zwyczajny </w:t>
      </w:r>
      <w:proofErr w:type="spellStart"/>
      <w:r w:rsidRPr="00C565C0">
        <w:rPr>
          <w:rFonts w:ascii="Calibri" w:hAnsi="Calibri" w:cs="Calibri"/>
          <w:iCs w:val="0"/>
          <w:sz w:val="22"/>
          <w:szCs w:val="22"/>
        </w:rPr>
        <w:t>Aesculushippocastanum</w:t>
      </w:r>
      <w:proofErr w:type="spellEnd"/>
      <w:r w:rsidRPr="00C565C0">
        <w:rPr>
          <w:rFonts w:ascii="Calibri" w:hAnsi="Calibri" w:cs="Calibri"/>
          <w:iCs w:val="0"/>
          <w:sz w:val="22"/>
          <w:szCs w:val="22"/>
        </w:rPr>
        <w:t xml:space="preserve"> L</w:t>
      </w:r>
      <w:r w:rsidRPr="00C565C0">
        <w:rPr>
          <w:rFonts w:ascii="Calibri" w:hAnsi="Calibri" w:cs="Calibri"/>
          <w:i w:val="0"/>
          <w:iCs w:val="0"/>
          <w:sz w:val="22"/>
          <w:szCs w:val="22"/>
        </w:rPr>
        <w:t xml:space="preserve">. oraz krzewów z gatunku bez czarny </w:t>
      </w:r>
      <w:proofErr w:type="spellStart"/>
      <w:r w:rsidRPr="00C565C0">
        <w:rPr>
          <w:rFonts w:ascii="Calibri" w:hAnsi="Calibri" w:cs="Calibri"/>
          <w:iCs w:val="0"/>
          <w:sz w:val="22"/>
          <w:szCs w:val="22"/>
        </w:rPr>
        <w:t>Sambucusnigra</w:t>
      </w:r>
      <w:proofErr w:type="spellEnd"/>
      <w:r w:rsidRPr="00C565C0">
        <w:rPr>
          <w:rFonts w:ascii="Calibri" w:hAnsi="Calibri" w:cs="Calibri"/>
          <w:iCs w:val="0"/>
          <w:sz w:val="22"/>
          <w:szCs w:val="22"/>
        </w:rPr>
        <w:t xml:space="preserve"> L</w:t>
      </w:r>
      <w:r w:rsidRPr="00C565C0">
        <w:rPr>
          <w:rFonts w:ascii="Calibri" w:hAnsi="Calibri" w:cs="Calibri"/>
          <w:i w:val="0"/>
          <w:iCs w:val="0"/>
          <w:sz w:val="22"/>
          <w:szCs w:val="22"/>
        </w:rPr>
        <w:t xml:space="preserve">. Nie odnotowano obecności płazów, gadów, ptaków i ssaków. Planowane przedsięwzięcie nie spowoduje usunięcia drzew ani krzewów.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Najbliższe zabudowania mieszkalne znajdują się w odległości: </w:t>
      </w:r>
    </w:p>
    <w:p w:rsidR="00C565C0" w:rsidRPr="00C565C0" w:rsidRDefault="00C565C0" w:rsidP="00C565C0">
      <w:pPr>
        <w:widowControl/>
        <w:numPr>
          <w:ilvl w:val="0"/>
          <w:numId w:val="47"/>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ok. 320 m w kierunku południowym (działka nr 76/20). Są zabudowania mieszkalne jednorodzinne na obszarze objętym miejscowym planem zagospodarowania przestrzennego; </w:t>
      </w:r>
    </w:p>
    <w:p w:rsidR="00C565C0" w:rsidRPr="00C565C0" w:rsidRDefault="00C565C0" w:rsidP="00C565C0">
      <w:pPr>
        <w:widowControl/>
        <w:numPr>
          <w:ilvl w:val="0"/>
          <w:numId w:val="47"/>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ok. 400 m w kierunku zachodnim na działce 79/1 oraz 62. Są to budynki mieszkalne wielorodzinne (teren nieobjęty miejscowym planem zagospodarowania przestrzennego). </w:t>
      </w:r>
    </w:p>
    <w:p w:rsidR="00C565C0" w:rsidRPr="00C565C0" w:rsidRDefault="00C565C0" w:rsidP="00C565C0">
      <w:pPr>
        <w:widowControl/>
        <w:spacing w:line="360" w:lineRule="auto"/>
        <w:jc w:val="both"/>
        <w:rPr>
          <w:rFonts w:ascii="Calibri" w:hAnsi="Calibri" w:cs="Calibri"/>
          <w:i w:val="0"/>
          <w:iCs w:val="0"/>
          <w:sz w:val="22"/>
          <w:szCs w:val="22"/>
        </w:rPr>
      </w:pP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W sąsiedztwie lokalizacji przedmiotowego przedsięwzięcia brak jest terenów ochrony uzdrowiskowej, zgodnie z ustawą z dnia 28 lipca 2005 r. o lecznictwie uzdrowiskowym, uzdrowiskach i obszarach ochrony uzdrowiskowej oraz o gminach uzdrowiskowych oraz terenów związanych ze stałym lub wielogodzinnym pobytem dzieci i młodzieży. Obszar planowanej inwestycji nie jest objęty ochroną konserwatorską. Nieruchomość przeznaczona pod inwestycję nie znajduje się wojewódzkim rejestrze zabytków nieruchomych, ani w wojewódzkiej ewidencji zabytków, prowadzonych przez Pomorskiego Wojewódzkiego Konserwatora Zabytków. Nie jest także wpisana do Gminnej Ewidencji Zabytków. Na terenie planowanego przedsięwzięcia ani na terenie sąsiednim nie znajdują się udokumentowane stanowiska archeologiczne. </w:t>
      </w:r>
    </w:p>
    <w:p w:rsidR="00C565C0" w:rsidRPr="00C565C0" w:rsidRDefault="00C565C0" w:rsidP="00C565C0">
      <w:pPr>
        <w:widowControl/>
        <w:spacing w:line="360" w:lineRule="auto"/>
        <w:jc w:val="both"/>
        <w:rPr>
          <w:rFonts w:ascii="Ebrima" w:hAnsi="Ebrima" w:cs="Ebrima"/>
          <w:i w:val="0"/>
          <w:iCs w:val="0"/>
          <w:color w:val="000000"/>
        </w:rPr>
      </w:pPr>
      <w:r w:rsidRPr="00C565C0">
        <w:rPr>
          <w:rFonts w:ascii="Calibri" w:hAnsi="Calibri" w:cs="Calibri"/>
          <w:i w:val="0"/>
          <w:iCs w:val="0"/>
          <w:sz w:val="22"/>
          <w:szCs w:val="22"/>
        </w:rPr>
        <w:t xml:space="preserve">Najbliższe obiekty wpisane do wojewódzkiego rejestru zabytków oraz gminnej ewidencji zabytków znajdują się w odległości ponad 820 m w kierunku północno-zachodnim od miejsca planowanego przedsięwzięcia (Dwór – Górki 1 z obiektami towarzyszącymi, ujęte w rejestrze zabytków Pomorskiego Wojewódzkiego Konserwatora Zabytków w Gdańsku pod </w:t>
      </w:r>
      <w:r w:rsidRPr="00C565C0">
        <w:rPr>
          <w:rFonts w:ascii="Ebrima" w:hAnsi="Ebrima" w:cs="Ebrima"/>
          <w:i w:val="0"/>
          <w:iCs w:val="0"/>
          <w:color w:val="000000"/>
        </w:rPr>
        <w:t xml:space="preserve">nr 1333).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Analizowane przedsięwzięcie nie powstanie na obszarach wodno-błotnych wpisanych na listę obszarów wodno-błotnych o międzynarodowym znaczeniu, zgodnie z Konwencją </w:t>
      </w:r>
      <w:proofErr w:type="spellStart"/>
      <w:r w:rsidRPr="00C565C0">
        <w:rPr>
          <w:rFonts w:ascii="Calibri" w:hAnsi="Calibri" w:cs="Calibri"/>
          <w:i w:val="0"/>
          <w:iCs w:val="0"/>
          <w:sz w:val="22"/>
          <w:szCs w:val="22"/>
        </w:rPr>
        <w:t>Ramsarską</w:t>
      </w:r>
      <w:proofErr w:type="spellEnd"/>
      <w:r w:rsidRPr="00C565C0">
        <w:rPr>
          <w:rFonts w:ascii="Calibri" w:hAnsi="Calibri" w:cs="Calibri"/>
          <w:i w:val="0"/>
          <w:iCs w:val="0"/>
          <w:sz w:val="22"/>
          <w:szCs w:val="22"/>
        </w:rPr>
        <w:t xml:space="preserve">.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Na przedmiotowych działkach i w najbliższym sąsiedztwie brak jest terenów podmokłych, zabagnionych, torfowisk. W odległości ok. 700 m na zachód znajduje się rzeka Liwa. Planowane przedsięwzięcie nie będzie się znajdowało na obszarze wybrzeży, ani w środowisku morskim.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Analizowany obszar nie jest terenem górskim ani lasem. W najbliższym sąsiedztwie nie występują obszary leśne ani górskie.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Na analizowanym terenie nie znajdują się strefy ochrony bezpośredniej ujęć wodnych ani obszary ochronne zbiorników wodnych takich, jak wody powierzchniowe i podziemne wykorzystywane do zaopatrzenia ludności w wodę przeznaczoną do spożycia, wody powierzchniowe wykorzystywane do celów rekreacyjnych, wody powierzchniowe przeznaczone do bytowania ryb, skorupiaków i mięczaków oraz umożliwiające migrację ryb (cieki i jeziora).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Na analizowanym obszarze ani w najbliższym sąsiedztwie nie znajdują się obszary o płytkim zaleganiu wód podziemnych, w tym siedliska łęgowe ani ujścia rzek.</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Ze względu na niewielką skalę przedsięwzięcia i lokalne oddziaływanie, planowana inwestycja nie spowoduje zagrożenia oddziaływania transgranicznego.</w:t>
      </w:r>
    </w:p>
    <w:p w:rsidR="00C565C0" w:rsidRPr="00C565C0" w:rsidRDefault="00C565C0" w:rsidP="00C565C0">
      <w:pPr>
        <w:widowControl/>
        <w:spacing w:line="360" w:lineRule="auto"/>
        <w:jc w:val="both"/>
        <w:rPr>
          <w:rFonts w:ascii="Calibri" w:hAnsi="Calibri" w:cs="Calibri"/>
          <w:i w:val="0"/>
          <w:iCs w:val="0"/>
          <w:sz w:val="22"/>
          <w:szCs w:val="22"/>
        </w:rPr>
      </w:pP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Na terenie planowanego przedsięwzięcia oraz w obszarze jego oddziaływania, uwzględniając skalę i charakter jego oddziaływania nie zidentyfikowano innych przedsięwzięć, których obecność wraz z analizowanym działaniem prowadziłoby do skumulowania oddziaływań na środowisko.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Przedmiotowa inwestycja będzie powodowała emisję gazów i pyłu oraz hałasu, w wyniku prowadzenia kruszenia odpadów budowlanych oraz w wyniku ruchu pojazdów i maszyn, w związku z prowadzonymi operacjami logistycznymi. Będą to oddziaływania nieznaczne, niepowodujące przekroczeń dopuszczalnych poziomów poza granicami nieruchomości inwestora.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Dla przedmiotowego i sąsiadującego obszaru nie sporządzono map akustycznych, związanych z przebiegiem dróg publicznych.</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Na najbliższym sąsiedztwie, nie występuje zakład o dużym ryzyku wystąpienia poważnej awarii przemysłowej (ZDR) ani o zwiększonym ryzyku wystąpienia poważnej awarii przemysłowej (ZZR). W odległości około 3,3 km od miejsca planowanej lokalizacji przedsięwzięcia znajduje się zakład produkcyjny International Paper w Kwidzynie ul. Lotnicza 1 zaliczony do grupy Zakładów Dużego Ryzyka.</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Jeśli w trakcie wykonywania prac związanych z realizacją przedsięwzięcia zostaną odkryte znaleziska mogące stanowić wartość archeologiczną, należy wstrzymać prace i poinformować niezwłocznie Pomorskiego Wojewódzkiego Konserwatora Zabytków w Gdańsku.</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Przedmiotowa inwestycja jest zlokalizowana na obszarze jednolitej części wód powierzchniowych (JCWP rzeczna) RW2000195229 – Liwa od wypływu z jez. </w:t>
      </w:r>
      <w:proofErr w:type="spellStart"/>
      <w:r w:rsidRPr="00C565C0">
        <w:rPr>
          <w:rFonts w:ascii="Calibri" w:hAnsi="Calibri" w:cs="Calibri"/>
          <w:i w:val="0"/>
          <w:iCs w:val="0"/>
          <w:sz w:val="22"/>
          <w:szCs w:val="22"/>
        </w:rPr>
        <w:t>Liwieniec</w:t>
      </w:r>
      <w:proofErr w:type="spellEnd"/>
      <w:r w:rsidRPr="00C565C0">
        <w:rPr>
          <w:rFonts w:ascii="Calibri" w:hAnsi="Calibri" w:cs="Calibri"/>
          <w:i w:val="0"/>
          <w:iCs w:val="0"/>
          <w:sz w:val="22"/>
          <w:szCs w:val="22"/>
        </w:rPr>
        <w:t xml:space="preserve"> do ujścia.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Teren przeznaczony pod przedmiotowe przedsięwzięcie znajduje się na obszarze jednolitej części wód podziemnych (</w:t>
      </w:r>
      <w:proofErr w:type="spellStart"/>
      <w:r w:rsidRPr="00C565C0">
        <w:rPr>
          <w:rFonts w:ascii="Calibri" w:hAnsi="Calibri" w:cs="Calibri"/>
          <w:i w:val="0"/>
          <w:iCs w:val="0"/>
          <w:sz w:val="22"/>
          <w:szCs w:val="22"/>
        </w:rPr>
        <w:t>JCWPd</w:t>
      </w:r>
      <w:proofErr w:type="spellEnd"/>
      <w:r w:rsidRPr="00C565C0">
        <w:rPr>
          <w:rFonts w:ascii="Calibri" w:hAnsi="Calibri" w:cs="Calibri"/>
          <w:i w:val="0"/>
          <w:iCs w:val="0"/>
          <w:sz w:val="22"/>
          <w:szCs w:val="22"/>
        </w:rPr>
        <w:t>) PLGW200030.</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Przedmiotowa inwestycja planowana nie znajduje się na obszarze Głównego Zbiornika Wód Podziemnych.</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Inwestycja położona jest poza obszarami europejskiej sieci Natura 2000. Najbliżej położone obszary to: </w:t>
      </w:r>
    </w:p>
    <w:p w:rsidR="00C565C0" w:rsidRPr="00C565C0" w:rsidRDefault="00C565C0" w:rsidP="00C565C0">
      <w:pPr>
        <w:widowControl/>
        <w:numPr>
          <w:ilvl w:val="0"/>
          <w:numId w:val="48"/>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ok. 6,41 km Dolna Wisła PLH220033; </w:t>
      </w:r>
    </w:p>
    <w:p w:rsidR="00C565C0" w:rsidRPr="00C565C0" w:rsidRDefault="00C565C0" w:rsidP="00C565C0">
      <w:pPr>
        <w:widowControl/>
        <w:numPr>
          <w:ilvl w:val="0"/>
          <w:numId w:val="48"/>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C565C0">
        <w:rPr>
          <w:rFonts w:ascii="Calibri" w:hAnsi="Calibri" w:cs="Calibri"/>
          <w:i w:val="0"/>
          <w:iCs w:val="0"/>
          <w:sz w:val="22"/>
          <w:szCs w:val="22"/>
        </w:rPr>
        <w:lastRenderedPageBreak/>
        <w:t>ok. 18,06 km Mikołajki Pomorskie PLH220076.</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Inne najbliżej położone obszary chronione, objęte ochroną na podstawie przepisów ustawy z dnia 16 kwietnia 2004 r. o ochronie przyrody (tj. Dz. U. z 2021 r., poz. 1098) to: </w:t>
      </w:r>
    </w:p>
    <w:p w:rsidR="00C565C0" w:rsidRPr="00C565C0" w:rsidRDefault="00C565C0" w:rsidP="00C565C0">
      <w:pPr>
        <w:widowControl/>
        <w:numPr>
          <w:ilvl w:val="0"/>
          <w:numId w:val="49"/>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ok 0,61 km Morawski Obszar Chronionego Krajobrazu; </w:t>
      </w:r>
    </w:p>
    <w:p w:rsidR="00C565C0" w:rsidRPr="00C565C0" w:rsidRDefault="00C565C0" w:rsidP="00C565C0">
      <w:pPr>
        <w:widowControl/>
        <w:numPr>
          <w:ilvl w:val="0"/>
          <w:numId w:val="49"/>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ok. 1,01 km </w:t>
      </w:r>
      <w:proofErr w:type="spellStart"/>
      <w:r w:rsidRPr="00C565C0">
        <w:rPr>
          <w:rFonts w:ascii="Calibri" w:hAnsi="Calibri" w:cs="Calibri"/>
          <w:i w:val="0"/>
          <w:iCs w:val="0"/>
          <w:sz w:val="22"/>
          <w:szCs w:val="22"/>
        </w:rPr>
        <w:t>Sadliński</w:t>
      </w:r>
      <w:proofErr w:type="spellEnd"/>
      <w:r w:rsidRPr="00C565C0">
        <w:rPr>
          <w:rFonts w:ascii="Calibri" w:hAnsi="Calibri" w:cs="Calibri"/>
          <w:i w:val="0"/>
          <w:iCs w:val="0"/>
          <w:sz w:val="22"/>
          <w:szCs w:val="22"/>
        </w:rPr>
        <w:t xml:space="preserve"> Obszar Chronionego Krajobrazu.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 xml:space="preserve">Miejsce planowanej inwestycji jest otoczone korytarzem ekologicznym Lasy Iławskie - Bory Tucholskie GKPn-14A. Najbliższy fragment korytarza znajduje się w odległości ok. 0,3 km od przedsięwzięcia.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Zgodnie z ustawą z dnia 27 kwietnia 2001 r. Prawo ochrony środowiska, przez poważną awarię należy rozumieć, zdarzenie w szczególności emisję, pożar lub eksplozję, powstałe w trakcie procesu przemysłowego, magazynowania lub transportu, w których występuje jedna lub więcej niebezpiecznych substancji, prowadzące do natychmiastowego powstania zagrożenia życia lub zdrowia ludzi lub środowiska lub powstania takiego zagrożenia z opóźnieniem.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W przypadku przedmiotowego przedsięwzięcia nie istnieje zagrożenie poważną awarią. Obiekty nie będą stanowiły zakładu o dużym, ani o zwiększonym ryzyku wystąpienia awarii, zgodnie z definicjami z ww. ustawy.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Gromadzone i przetwarzane odpady należy zaliczyć do kategorii odpadów niepalnych, niestanowiących zagrożenia pożarowego, a tym samym ograniczające ryzyko wystąpienia pożaru. </w:t>
      </w:r>
    </w:p>
    <w:p w:rsidR="00C565C0" w:rsidRPr="00C565C0" w:rsidRDefault="00C565C0" w:rsidP="00C565C0">
      <w:pPr>
        <w:widowControl/>
        <w:spacing w:line="360" w:lineRule="auto"/>
        <w:jc w:val="both"/>
        <w:rPr>
          <w:rFonts w:ascii="Calibri" w:hAnsi="Calibri" w:cs="Calibri"/>
          <w:i w:val="0"/>
          <w:iCs w:val="0"/>
          <w:sz w:val="22"/>
          <w:szCs w:val="22"/>
        </w:rPr>
      </w:pPr>
      <w:r w:rsidRPr="00C565C0">
        <w:rPr>
          <w:rFonts w:ascii="Calibri" w:hAnsi="Calibri" w:cs="Calibri"/>
          <w:i w:val="0"/>
          <w:iCs w:val="0"/>
          <w:sz w:val="22"/>
          <w:szCs w:val="22"/>
        </w:rPr>
        <w:t xml:space="preserve">Ponadto obiekt będzie stale monitorowany, zgodnie z wymaganiami przepisów ustawy z dnia 14 grudnia 2012 roku o odpadach oraz rozporządzenia Ministra Środowiska z dnia 29 sierpnia 2019 r. w sprawie wizyjnego systemu kontroli miejsca magazynowania lub składowania odpadów. </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Na omawianej nieruchomości istnieje znikome ryzyko zaistnienia katastrofy naturalnej. Nie ma na</w:t>
      </w:r>
      <w:r w:rsidRPr="00C565C0">
        <w:rPr>
          <w:rFonts w:ascii="Ebrima" w:hAnsi="Ebrima" w:cs="Ebrima"/>
          <w:i w:val="0"/>
          <w:iCs w:val="0"/>
          <w:color w:val="000000"/>
        </w:rPr>
        <w:t xml:space="preserve"> tym obszarze osuwisk ani terenów podmokłych. Na przedmiotowym obszarze nie istnieje ryzyko zagrożenia powodzią. Jako najbardziej prawdopodobne należy uznać możliwość pojawienia się intensywnych wiatrów i wyładowań atmosferycznych. Instalacja nie będzie narażona na negatywne skutki takiego oddziaływania.</w:t>
      </w: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rsidR="00C565C0" w:rsidRPr="00C565C0" w:rsidRDefault="00C565C0" w:rsidP="00C565C0">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C565C0">
        <w:rPr>
          <w:rFonts w:ascii="Calibri" w:hAnsi="Calibri" w:cs="Calibri"/>
          <w:i w:val="0"/>
          <w:iCs w:val="0"/>
          <w:sz w:val="22"/>
          <w:szCs w:val="22"/>
        </w:rPr>
        <w:t>Dla terenu planowanego przedsięwzięcia obowiązuje miejscowy plan zagospodarowania przestrzennego zatwierdzony uchwalą Nr XIII/83/2007 Rady Gminy Kwidzyn z dnia 14 grudnia 2007 r. Obszar lokalizacji inwestycji oznaczono symbolem 02.PU - tereny funkcji komercyjnych.</w:t>
      </w:r>
    </w:p>
    <w:p w:rsidR="008409CE" w:rsidRPr="00750558" w:rsidRDefault="008409CE" w:rsidP="00C565C0">
      <w:pPr>
        <w:widowControl/>
        <w:autoSpaceDE/>
        <w:autoSpaceDN/>
        <w:adjustRightInd/>
        <w:spacing w:line="360" w:lineRule="auto"/>
        <w:contextualSpacing/>
        <w:jc w:val="both"/>
        <w:rPr>
          <w:rFonts w:ascii="Calibri" w:hAnsi="Calibri" w:cs="Times New Roman"/>
          <w:i w:val="0"/>
          <w:iCs w:val="0"/>
          <w:color w:val="FF0000"/>
          <w:sz w:val="22"/>
          <w:szCs w:val="22"/>
        </w:rPr>
      </w:pPr>
    </w:p>
    <w:sectPr w:rsidR="008409CE" w:rsidRPr="00750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C60618"/>
    <w:lvl w:ilvl="0">
      <w:numFmt w:val="bullet"/>
      <w:lvlText w:val="*"/>
      <w:lvlJc w:val="left"/>
    </w:lvl>
  </w:abstractNum>
  <w:abstractNum w:abstractNumId="1">
    <w:nsid w:val="0454AADB"/>
    <w:multiLevelType w:val="singleLevel"/>
    <w:tmpl w:val="2710D536"/>
    <w:lvl w:ilvl="0">
      <w:numFmt w:val="bullet"/>
      <w:lvlText w:val="·"/>
      <w:lvlJc w:val="left"/>
      <w:pPr>
        <w:tabs>
          <w:tab w:val="num" w:pos="1080"/>
        </w:tabs>
        <w:ind w:left="1080" w:hanging="360"/>
      </w:pPr>
      <w:rPr>
        <w:rFonts w:ascii="Symbol" w:hAnsi="Symbol" w:cs="Symbol"/>
        <w:snapToGrid/>
        <w:sz w:val="22"/>
        <w:szCs w:val="22"/>
      </w:rPr>
    </w:lvl>
  </w:abstractNum>
  <w:abstractNum w:abstractNumId="2">
    <w:nsid w:val="04CD59C5"/>
    <w:multiLevelType w:val="hybridMultilevel"/>
    <w:tmpl w:val="25626E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51C585"/>
    <w:multiLevelType w:val="singleLevel"/>
    <w:tmpl w:val="34F85E1E"/>
    <w:lvl w:ilvl="0">
      <w:numFmt w:val="bullet"/>
      <w:lvlText w:val="-"/>
      <w:lvlJc w:val="left"/>
      <w:pPr>
        <w:tabs>
          <w:tab w:val="num" w:pos="2232"/>
        </w:tabs>
        <w:ind w:left="1872"/>
      </w:pPr>
      <w:rPr>
        <w:rFonts w:ascii="Symbol" w:hAnsi="Symbol" w:cs="Symbol"/>
        <w:snapToGrid/>
        <w:spacing w:val="-1"/>
        <w:sz w:val="22"/>
        <w:szCs w:val="22"/>
      </w:rPr>
    </w:lvl>
  </w:abstractNum>
  <w:abstractNum w:abstractNumId="4">
    <w:nsid w:val="056F3589"/>
    <w:multiLevelType w:val="hybridMultilevel"/>
    <w:tmpl w:val="1724072A"/>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290439"/>
    <w:multiLevelType w:val="hybridMultilevel"/>
    <w:tmpl w:val="5A82A696"/>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637504"/>
    <w:multiLevelType w:val="hybridMultilevel"/>
    <w:tmpl w:val="DCD0C2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D936F2E"/>
    <w:multiLevelType w:val="hybridMultilevel"/>
    <w:tmpl w:val="0FD499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DD8412F"/>
    <w:multiLevelType w:val="hybridMultilevel"/>
    <w:tmpl w:val="BC1E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D25DC6"/>
    <w:multiLevelType w:val="hybridMultilevel"/>
    <w:tmpl w:val="5C2441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4941FA8"/>
    <w:multiLevelType w:val="hybridMultilevel"/>
    <w:tmpl w:val="64A0D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7A3D29"/>
    <w:multiLevelType w:val="hybridMultilevel"/>
    <w:tmpl w:val="0120A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A4AA3"/>
    <w:multiLevelType w:val="hybridMultilevel"/>
    <w:tmpl w:val="3D2659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35E0DA8"/>
    <w:multiLevelType w:val="hybridMultilevel"/>
    <w:tmpl w:val="21261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0990956"/>
    <w:multiLevelType w:val="hybridMultilevel"/>
    <w:tmpl w:val="CF1E6F46"/>
    <w:lvl w:ilvl="0" w:tplc="36F6C7A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2DD0B67"/>
    <w:multiLevelType w:val="hybridMultilevel"/>
    <w:tmpl w:val="5944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1C7C36"/>
    <w:multiLevelType w:val="hybridMultilevel"/>
    <w:tmpl w:val="F202E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B8384D"/>
    <w:multiLevelType w:val="hybridMultilevel"/>
    <w:tmpl w:val="218C49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364C32F6"/>
    <w:multiLevelType w:val="hybridMultilevel"/>
    <w:tmpl w:val="7F6CEEF2"/>
    <w:lvl w:ilvl="0" w:tplc="867CB294">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0DC6CB4"/>
    <w:multiLevelType w:val="hybridMultilevel"/>
    <w:tmpl w:val="8594E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8009DF"/>
    <w:multiLevelType w:val="hybridMultilevel"/>
    <w:tmpl w:val="BC18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78341CE"/>
    <w:multiLevelType w:val="hybridMultilevel"/>
    <w:tmpl w:val="7D4C4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839679F"/>
    <w:multiLevelType w:val="hybridMultilevel"/>
    <w:tmpl w:val="FF9A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0C4F9D"/>
    <w:multiLevelType w:val="hybridMultilevel"/>
    <w:tmpl w:val="1CF8D782"/>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097BF0"/>
    <w:multiLevelType w:val="hybridMultilevel"/>
    <w:tmpl w:val="D3F622D2"/>
    <w:lvl w:ilvl="0" w:tplc="F1724648">
      <w:start w:val="65535"/>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7B294C"/>
    <w:multiLevelType w:val="hybridMultilevel"/>
    <w:tmpl w:val="08FAB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2BB5A30"/>
    <w:multiLevelType w:val="hybridMultilevel"/>
    <w:tmpl w:val="380EF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2F218B2"/>
    <w:multiLevelType w:val="hybridMultilevel"/>
    <w:tmpl w:val="2B663A10"/>
    <w:lvl w:ilvl="0" w:tplc="04150001">
      <w:start w:val="1"/>
      <w:numFmt w:val="bullet"/>
      <w:lvlText w:val=""/>
      <w:lvlJc w:val="left"/>
      <w:pPr>
        <w:ind w:left="1827" w:hanging="360"/>
      </w:pPr>
      <w:rPr>
        <w:rFonts w:ascii="Symbol" w:hAnsi="Symbol" w:hint="default"/>
      </w:rPr>
    </w:lvl>
    <w:lvl w:ilvl="1" w:tplc="04150003" w:tentative="1">
      <w:start w:val="1"/>
      <w:numFmt w:val="bullet"/>
      <w:lvlText w:val="o"/>
      <w:lvlJc w:val="left"/>
      <w:pPr>
        <w:ind w:left="2547" w:hanging="360"/>
      </w:pPr>
      <w:rPr>
        <w:rFonts w:ascii="Courier New" w:hAnsi="Courier New" w:cs="Courier New" w:hint="default"/>
      </w:rPr>
    </w:lvl>
    <w:lvl w:ilvl="2" w:tplc="04150005" w:tentative="1">
      <w:start w:val="1"/>
      <w:numFmt w:val="bullet"/>
      <w:lvlText w:val=""/>
      <w:lvlJc w:val="left"/>
      <w:pPr>
        <w:ind w:left="3267" w:hanging="360"/>
      </w:pPr>
      <w:rPr>
        <w:rFonts w:ascii="Wingdings" w:hAnsi="Wingdings" w:hint="default"/>
      </w:rPr>
    </w:lvl>
    <w:lvl w:ilvl="3" w:tplc="04150001" w:tentative="1">
      <w:start w:val="1"/>
      <w:numFmt w:val="bullet"/>
      <w:lvlText w:val=""/>
      <w:lvlJc w:val="left"/>
      <w:pPr>
        <w:ind w:left="3987" w:hanging="360"/>
      </w:pPr>
      <w:rPr>
        <w:rFonts w:ascii="Symbol" w:hAnsi="Symbol" w:hint="default"/>
      </w:rPr>
    </w:lvl>
    <w:lvl w:ilvl="4" w:tplc="04150003" w:tentative="1">
      <w:start w:val="1"/>
      <w:numFmt w:val="bullet"/>
      <w:lvlText w:val="o"/>
      <w:lvlJc w:val="left"/>
      <w:pPr>
        <w:ind w:left="4707" w:hanging="360"/>
      </w:pPr>
      <w:rPr>
        <w:rFonts w:ascii="Courier New" w:hAnsi="Courier New" w:cs="Courier New" w:hint="default"/>
      </w:rPr>
    </w:lvl>
    <w:lvl w:ilvl="5" w:tplc="04150005" w:tentative="1">
      <w:start w:val="1"/>
      <w:numFmt w:val="bullet"/>
      <w:lvlText w:val=""/>
      <w:lvlJc w:val="left"/>
      <w:pPr>
        <w:ind w:left="5427" w:hanging="360"/>
      </w:pPr>
      <w:rPr>
        <w:rFonts w:ascii="Wingdings" w:hAnsi="Wingdings" w:hint="default"/>
      </w:rPr>
    </w:lvl>
    <w:lvl w:ilvl="6" w:tplc="04150001" w:tentative="1">
      <w:start w:val="1"/>
      <w:numFmt w:val="bullet"/>
      <w:lvlText w:val=""/>
      <w:lvlJc w:val="left"/>
      <w:pPr>
        <w:ind w:left="6147" w:hanging="360"/>
      </w:pPr>
      <w:rPr>
        <w:rFonts w:ascii="Symbol" w:hAnsi="Symbol" w:hint="default"/>
      </w:rPr>
    </w:lvl>
    <w:lvl w:ilvl="7" w:tplc="04150003" w:tentative="1">
      <w:start w:val="1"/>
      <w:numFmt w:val="bullet"/>
      <w:lvlText w:val="o"/>
      <w:lvlJc w:val="left"/>
      <w:pPr>
        <w:ind w:left="6867" w:hanging="360"/>
      </w:pPr>
      <w:rPr>
        <w:rFonts w:ascii="Courier New" w:hAnsi="Courier New" w:cs="Courier New" w:hint="default"/>
      </w:rPr>
    </w:lvl>
    <w:lvl w:ilvl="8" w:tplc="04150005" w:tentative="1">
      <w:start w:val="1"/>
      <w:numFmt w:val="bullet"/>
      <w:lvlText w:val=""/>
      <w:lvlJc w:val="left"/>
      <w:pPr>
        <w:ind w:left="7587" w:hanging="360"/>
      </w:pPr>
      <w:rPr>
        <w:rFonts w:ascii="Wingdings" w:hAnsi="Wingdings" w:hint="default"/>
      </w:rPr>
    </w:lvl>
  </w:abstractNum>
  <w:abstractNum w:abstractNumId="28">
    <w:nsid w:val="63143C2D"/>
    <w:multiLevelType w:val="hybridMultilevel"/>
    <w:tmpl w:val="4D843518"/>
    <w:lvl w:ilvl="0" w:tplc="2B7EC9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B30AD4"/>
    <w:multiLevelType w:val="hybridMultilevel"/>
    <w:tmpl w:val="5E6CC31A"/>
    <w:lvl w:ilvl="0" w:tplc="6A1075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6940366"/>
    <w:multiLevelType w:val="hybridMultilevel"/>
    <w:tmpl w:val="AA00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5C0F09"/>
    <w:multiLevelType w:val="hybridMultilevel"/>
    <w:tmpl w:val="DB7E1E02"/>
    <w:lvl w:ilvl="0" w:tplc="EA3CA048">
      <w:start w:val="1"/>
      <w:numFmt w:val="lowerLetter"/>
      <w:lvlText w:val="%1)"/>
      <w:lvlJc w:val="left"/>
      <w:pPr>
        <w:ind w:left="720" w:hanging="360"/>
      </w:pPr>
      <w:rPr>
        <w:rFonts w:ascii="Times New Roman" w:hAnsi="Times New Roman" w:cs="Times New Roman" w:hint="default"/>
        <w:color w:val="1313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C3C2D"/>
    <w:multiLevelType w:val="hybridMultilevel"/>
    <w:tmpl w:val="BA6EB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ECE2DAD"/>
    <w:multiLevelType w:val="hybridMultilevel"/>
    <w:tmpl w:val="241EF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2F2981"/>
    <w:multiLevelType w:val="hybridMultilevel"/>
    <w:tmpl w:val="E58A65CC"/>
    <w:lvl w:ilvl="0" w:tplc="97506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C9408D5"/>
    <w:multiLevelType w:val="hybridMultilevel"/>
    <w:tmpl w:val="4BDCA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6A1914"/>
    <w:multiLevelType w:val="hybridMultilevel"/>
    <w:tmpl w:val="6F0CBACE"/>
    <w:lvl w:ilvl="0" w:tplc="8EB088C8">
      <w:start w:val="1"/>
      <w:numFmt w:val="bullet"/>
      <w:lvlText w:val="-"/>
      <w:lvlJc w:val="left"/>
      <w:pPr>
        <w:ind w:left="734" w:hanging="360"/>
      </w:pPr>
      <w:rPr>
        <w:rFonts w:ascii="Courier New" w:hAnsi="Courier New"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num w:numId="1">
    <w:abstractNumId w:val="12"/>
  </w:num>
  <w:num w:numId="2">
    <w:abstractNumId w:val="9"/>
  </w:num>
  <w:num w:numId="3">
    <w:abstractNumId w:val="30"/>
  </w:num>
  <w:num w:numId="4">
    <w:abstractNumId w:val="8"/>
  </w:num>
  <w:num w:numId="5">
    <w:abstractNumId w:val="10"/>
  </w:num>
  <w:num w:numId="6">
    <w:abstractNumId w:val="21"/>
  </w:num>
  <w:num w:numId="7">
    <w:abstractNumId w:val="7"/>
  </w:num>
  <w:num w:numId="8">
    <w:abstractNumId w:val="6"/>
  </w:num>
  <w:num w:numId="9">
    <w:abstractNumId w:val="17"/>
  </w:num>
  <w:num w:numId="10">
    <w:abstractNumId w:val="13"/>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24"/>
  </w:num>
  <w:num w:numId="13">
    <w:abstractNumId w:val="11"/>
  </w:num>
  <w:num w:numId="1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5">
    <w:abstractNumId w:val="34"/>
  </w:num>
  <w:num w:numId="1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24">
    <w:abstractNumId w:val="31"/>
  </w:num>
  <w:num w:numId="25">
    <w:abstractNumId w:val="0"/>
    <w:lvlOverride w:ilvl="0">
      <w:lvl w:ilvl="0">
        <w:numFmt w:val="bullet"/>
        <w:lvlText w:val="·"/>
        <w:legacy w:legacy="1" w:legacySpace="0" w:legacyIndent="0"/>
        <w:lvlJc w:val="left"/>
        <w:rPr>
          <w:rFonts w:ascii="Times New Roman" w:hAnsi="Times New Roman" w:hint="default"/>
          <w:color w:val="000003"/>
        </w:rPr>
      </w:lvl>
    </w:lvlOverride>
  </w:num>
  <w:num w:numId="26">
    <w:abstractNumId w:val="28"/>
  </w:num>
  <w:num w:numId="27">
    <w:abstractNumId w:val="18"/>
  </w:num>
  <w:num w:numId="28">
    <w:abstractNumId w:val="16"/>
  </w:num>
  <w:num w:numId="29">
    <w:abstractNumId w:val="33"/>
  </w:num>
  <w:num w:numId="30">
    <w:abstractNumId w:val="27"/>
  </w:num>
  <w:num w:numId="31">
    <w:abstractNumId w:val="29"/>
  </w:num>
  <w:num w:numId="32">
    <w:abstractNumId w:val="26"/>
  </w:num>
  <w:num w:numId="33">
    <w:abstractNumId w:val="15"/>
  </w:num>
  <w:num w:numId="34">
    <w:abstractNumId w:val="25"/>
  </w:num>
  <w:num w:numId="35">
    <w:abstractNumId w:val="20"/>
  </w:num>
  <w:num w:numId="36">
    <w:abstractNumId w:val="22"/>
  </w:num>
  <w:num w:numId="37">
    <w:abstractNumId w:val="36"/>
  </w:num>
  <w:num w:numId="38">
    <w:abstractNumId w:val="23"/>
  </w:num>
  <w:num w:numId="39">
    <w:abstractNumId w:val="1"/>
  </w:num>
  <w:num w:numId="40">
    <w:abstractNumId w:val="1"/>
    <w:lvlOverride w:ilvl="0">
      <w:lvl w:ilvl="0">
        <w:numFmt w:val="bullet"/>
        <w:lvlText w:val="·"/>
        <w:lvlJc w:val="left"/>
        <w:pPr>
          <w:tabs>
            <w:tab w:val="num" w:pos="1152"/>
          </w:tabs>
          <w:ind w:left="1152" w:hanging="432"/>
        </w:pPr>
        <w:rPr>
          <w:rFonts w:ascii="Symbol" w:hAnsi="Symbol" w:cs="Symbol"/>
          <w:snapToGrid/>
          <w:sz w:val="22"/>
          <w:szCs w:val="22"/>
        </w:rPr>
      </w:lvl>
    </w:lvlOverride>
  </w:num>
  <w:num w:numId="41">
    <w:abstractNumId w:val="5"/>
  </w:num>
  <w:num w:numId="42">
    <w:abstractNumId w:val="2"/>
  </w:num>
  <w:num w:numId="43">
    <w:abstractNumId w:val="3"/>
    <w:lvlOverride w:ilvl="0">
      <w:lvl w:ilvl="0">
        <w:numFmt w:val="bullet"/>
        <w:lvlText w:val="-"/>
        <w:lvlJc w:val="left"/>
        <w:pPr>
          <w:tabs>
            <w:tab w:val="num" w:pos="1008"/>
          </w:tabs>
          <w:ind w:left="720"/>
        </w:pPr>
        <w:rPr>
          <w:rFonts w:ascii="Symbol" w:hAnsi="Symbol" w:cs="Symbol"/>
          <w:snapToGrid/>
          <w:sz w:val="22"/>
          <w:szCs w:val="22"/>
        </w:rPr>
      </w:lvl>
    </w:lvlOverride>
  </w:num>
  <w:num w:numId="44">
    <w:abstractNumId w:val="3"/>
    <w:lvlOverride w:ilvl="0">
      <w:lvl w:ilvl="0">
        <w:numFmt w:val="bullet"/>
        <w:lvlText w:val="-"/>
        <w:lvlJc w:val="left"/>
        <w:pPr>
          <w:tabs>
            <w:tab w:val="num" w:pos="1152"/>
          </w:tabs>
          <w:ind w:left="1152" w:hanging="360"/>
        </w:pPr>
        <w:rPr>
          <w:rFonts w:ascii="Symbol" w:hAnsi="Symbol" w:cs="Symbol"/>
          <w:snapToGrid/>
          <w:sz w:val="22"/>
          <w:szCs w:val="22"/>
        </w:rPr>
      </w:lvl>
    </w:lvlOverride>
  </w:num>
  <w:num w:numId="45">
    <w:abstractNumId w:val="4"/>
  </w:num>
  <w:num w:numId="46">
    <w:abstractNumId w:val="14"/>
  </w:num>
  <w:num w:numId="47">
    <w:abstractNumId w:val="19"/>
  </w:num>
  <w:num w:numId="48">
    <w:abstractNumId w:val="3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215C9"/>
    <w:rsid w:val="00077303"/>
    <w:rsid w:val="000A1B0A"/>
    <w:rsid w:val="000C3AA5"/>
    <w:rsid w:val="000C3EE3"/>
    <w:rsid w:val="000D0A43"/>
    <w:rsid w:val="0012315B"/>
    <w:rsid w:val="001447A7"/>
    <w:rsid w:val="001626F4"/>
    <w:rsid w:val="00172C43"/>
    <w:rsid w:val="001F2A93"/>
    <w:rsid w:val="00202112"/>
    <w:rsid w:val="00211234"/>
    <w:rsid w:val="002133E3"/>
    <w:rsid w:val="00213D22"/>
    <w:rsid w:val="00245D4E"/>
    <w:rsid w:val="00281477"/>
    <w:rsid w:val="002A4BA6"/>
    <w:rsid w:val="002A7C79"/>
    <w:rsid w:val="003403F9"/>
    <w:rsid w:val="0035188C"/>
    <w:rsid w:val="00354198"/>
    <w:rsid w:val="00383B24"/>
    <w:rsid w:val="003A66AF"/>
    <w:rsid w:val="003E0CD4"/>
    <w:rsid w:val="004D7E6D"/>
    <w:rsid w:val="00520504"/>
    <w:rsid w:val="005239C8"/>
    <w:rsid w:val="00640AE3"/>
    <w:rsid w:val="006436B8"/>
    <w:rsid w:val="006728F7"/>
    <w:rsid w:val="006A53BF"/>
    <w:rsid w:val="006E7441"/>
    <w:rsid w:val="006F2E4E"/>
    <w:rsid w:val="007446FA"/>
    <w:rsid w:val="00750558"/>
    <w:rsid w:val="0077638F"/>
    <w:rsid w:val="007C2A12"/>
    <w:rsid w:val="007F24FE"/>
    <w:rsid w:val="008409CE"/>
    <w:rsid w:val="00850185"/>
    <w:rsid w:val="00881D7C"/>
    <w:rsid w:val="008E799E"/>
    <w:rsid w:val="008F364B"/>
    <w:rsid w:val="009012A5"/>
    <w:rsid w:val="0091318D"/>
    <w:rsid w:val="009378AE"/>
    <w:rsid w:val="0095340C"/>
    <w:rsid w:val="00977519"/>
    <w:rsid w:val="009A7DC7"/>
    <w:rsid w:val="009B0DBA"/>
    <w:rsid w:val="009B6C9B"/>
    <w:rsid w:val="009C117B"/>
    <w:rsid w:val="009D740F"/>
    <w:rsid w:val="00A04CA9"/>
    <w:rsid w:val="00A06B09"/>
    <w:rsid w:val="00A2667A"/>
    <w:rsid w:val="00B32B57"/>
    <w:rsid w:val="00B73CA3"/>
    <w:rsid w:val="00B753B5"/>
    <w:rsid w:val="00B867FE"/>
    <w:rsid w:val="00B86ADC"/>
    <w:rsid w:val="00B958D0"/>
    <w:rsid w:val="00BB573F"/>
    <w:rsid w:val="00BC5470"/>
    <w:rsid w:val="00BF7CED"/>
    <w:rsid w:val="00C15C01"/>
    <w:rsid w:val="00C565C0"/>
    <w:rsid w:val="00C77FEC"/>
    <w:rsid w:val="00CA4D7B"/>
    <w:rsid w:val="00CC0094"/>
    <w:rsid w:val="00CD31D6"/>
    <w:rsid w:val="00CD528F"/>
    <w:rsid w:val="00D22F9B"/>
    <w:rsid w:val="00D45BCB"/>
    <w:rsid w:val="00D9258B"/>
    <w:rsid w:val="00DA00AE"/>
    <w:rsid w:val="00DA5D71"/>
    <w:rsid w:val="00E21294"/>
    <w:rsid w:val="00E414CA"/>
    <w:rsid w:val="00E43991"/>
    <w:rsid w:val="00E62623"/>
    <w:rsid w:val="00E90EA4"/>
    <w:rsid w:val="00E97480"/>
    <w:rsid w:val="00EC35AC"/>
    <w:rsid w:val="00F05A5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6DD6-54B3-48D8-BCF2-89764238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9788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2020-07-03T05:32:00Z</cp:lastPrinted>
  <dcterms:created xsi:type="dcterms:W3CDTF">2021-09-21T10:39:00Z</dcterms:created>
  <dcterms:modified xsi:type="dcterms:W3CDTF">2021-09-21T10:39:00Z</dcterms:modified>
</cp:coreProperties>
</file>