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89" w:rsidRDefault="00144D89" w:rsidP="002309D6">
      <w:pPr>
        <w:rPr>
          <w:rFonts w:ascii="Arial" w:hAnsi="Arial" w:cs="Arial"/>
          <w:sz w:val="20"/>
          <w:szCs w:val="20"/>
        </w:rPr>
      </w:pPr>
    </w:p>
    <w:p w:rsidR="00144D89" w:rsidRPr="004503B8" w:rsidRDefault="00144D89" w:rsidP="00144D89">
      <w:pPr>
        <w:ind w:firstLine="6840"/>
        <w:rPr>
          <w:sz w:val="20"/>
          <w:szCs w:val="20"/>
        </w:rPr>
      </w:pPr>
      <w:r w:rsidRPr="004503B8">
        <w:rPr>
          <w:sz w:val="20"/>
          <w:szCs w:val="20"/>
        </w:rPr>
        <w:t xml:space="preserve">Załącznik  do </w:t>
      </w:r>
    </w:p>
    <w:p w:rsidR="00144D89" w:rsidRPr="004503B8" w:rsidRDefault="00144D89" w:rsidP="00144D89">
      <w:pPr>
        <w:ind w:firstLine="6840"/>
        <w:rPr>
          <w:sz w:val="20"/>
          <w:szCs w:val="20"/>
        </w:rPr>
      </w:pPr>
      <w:r w:rsidRPr="004503B8">
        <w:rPr>
          <w:sz w:val="20"/>
          <w:szCs w:val="20"/>
        </w:rPr>
        <w:t xml:space="preserve">Zarządzenia Nr </w:t>
      </w:r>
      <w:r w:rsidR="007E1344">
        <w:rPr>
          <w:sz w:val="20"/>
          <w:szCs w:val="20"/>
        </w:rPr>
        <w:t>151/17</w:t>
      </w:r>
    </w:p>
    <w:p w:rsidR="00144D89" w:rsidRPr="004503B8" w:rsidRDefault="00054645" w:rsidP="00144D89">
      <w:pPr>
        <w:ind w:firstLine="6840"/>
        <w:rPr>
          <w:sz w:val="20"/>
          <w:szCs w:val="20"/>
        </w:rPr>
      </w:pPr>
      <w:r w:rsidRPr="004503B8">
        <w:rPr>
          <w:sz w:val="20"/>
          <w:szCs w:val="20"/>
        </w:rPr>
        <w:t>Wójta Gminy Kwidzyn</w:t>
      </w:r>
    </w:p>
    <w:p w:rsidR="00144D89" w:rsidRPr="004503B8" w:rsidRDefault="00144D89" w:rsidP="00054645">
      <w:pPr>
        <w:ind w:firstLine="6840"/>
      </w:pPr>
      <w:r w:rsidRPr="004503B8">
        <w:rPr>
          <w:sz w:val="20"/>
          <w:szCs w:val="20"/>
        </w:rPr>
        <w:t>z dnia</w:t>
      </w:r>
      <w:r w:rsidR="00BD610A">
        <w:rPr>
          <w:sz w:val="20"/>
          <w:szCs w:val="20"/>
        </w:rPr>
        <w:t xml:space="preserve"> </w:t>
      </w:r>
      <w:r w:rsidR="007E1344">
        <w:rPr>
          <w:sz w:val="20"/>
          <w:szCs w:val="20"/>
        </w:rPr>
        <w:t>29 grudnia 2017</w:t>
      </w:r>
      <w:r w:rsidR="00BD610A">
        <w:rPr>
          <w:sz w:val="20"/>
          <w:szCs w:val="20"/>
        </w:rPr>
        <w:t>r</w:t>
      </w:r>
    </w:p>
    <w:p w:rsidR="00144D89" w:rsidRPr="00433825" w:rsidRDefault="00144D89" w:rsidP="00433825">
      <w:pPr>
        <w:jc w:val="center"/>
        <w:rPr>
          <w:rFonts w:ascii="Arial" w:hAnsi="Arial" w:cs="Arial"/>
          <w:b/>
          <w:sz w:val="28"/>
          <w:szCs w:val="28"/>
        </w:rPr>
      </w:pPr>
    </w:p>
    <w:p w:rsidR="008B0EBA" w:rsidRDefault="00433825" w:rsidP="008B0EBA">
      <w:pPr>
        <w:jc w:val="center"/>
        <w:rPr>
          <w:b/>
          <w:sz w:val="28"/>
          <w:szCs w:val="28"/>
        </w:rPr>
      </w:pPr>
      <w:r w:rsidRPr="00433825">
        <w:rPr>
          <w:b/>
          <w:sz w:val="28"/>
          <w:szCs w:val="28"/>
        </w:rPr>
        <w:t>Instrukcj</w:t>
      </w:r>
      <w:r>
        <w:rPr>
          <w:b/>
          <w:sz w:val="28"/>
          <w:szCs w:val="28"/>
        </w:rPr>
        <w:t>a</w:t>
      </w:r>
    </w:p>
    <w:p w:rsidR="00144D89" w:rsidRDefault="00433825" w:rsidP="008B0EBA">
      <w:pPr>
        <w:jc w:val="center"/>
        <w:rPr>
          <w:b/>
          <w:sz w:val="28"/>
          <w:szCs w:val="28"/>
        </w:rPr>
      </w:pPr>
      <w:r w:rsidRPr="00433825">
        <w:rPr>
          <w:b/>
          <w:sz w:val="28"/>
          <w:szCs w:val="28"/>
        </w:rPr>
        <w:t xml:space="preserve">postępowania w zakresie przeciwdziałania </w:t>
      </w:r>
      <w:r w:rsidR="00EC220C" w:rsidRPr="00EC220C">
        <w:rPr>
          <w:b/>
          <w:sz w:val="28"/>
          <w:szCs w:val="28"/>
        </w:rPr>
        <w:t>praniu pieniędzy oraz finansowania terroryzmu w Urzędzie Gminy Kwidzyn</w:t>
      </w:r>
    </w:p>
    <w:p w:rsidR="00EC220C" w:rsidRDefault="00EC220C" w:rsidP="00144D89">
      <w:pPr>
        <w:jc w:val="both"/>
        <w:rPr>
          <w:rFonts w:ascii="Arial" w:hAnsi="Arial" w:cs="Arial"/>
        </w:rPr>
      </w:pPr>
    </w:p>
    <w:p w:rsidR="005156A9" w:rsidRDefault="005156A9" w:rsidP="00144D89">
      <w:pPr>
        <w:jc w:val="both"/>
        <w:rPr>
          <w:rFonts w:ascii="Arial" w:hAnsi="Arial" w:cs="Arial"/>
        </w:rPr>
      </w:pPr>
    </w:p>
    <w:p w:rsidR="00144D89" w:rsidRPr="00433825" w:rsidRDefault="00433825" w:rsidP="005156A9">
      <w:pPr>
        <w:spacing w:line="360" w:lineRule="auto"/>
        <w:jc w:val="both"/>
      </w:pPr>
      <w:r w:rsidRPr="00793C9E">
        <w:rPr>
          <w:b/>
        </w:rPr>
        <w:t>§ 1</w:t>
      </w:r>
      <w:r>
        <w:rPr>
          <w:rFonts w:ascii="Arial" w:hAnsi="Arial" w:cs="Arial"/>
        </w:rPr>
        <w:t>.</w:t>
      </w:r>
      <w:r w:rsidRPr="00433825">
        <w:t xml:space="preserve">Instrukcję opracowano w oparciu o przepisy ogólnie obowiązujące oraz wypracowane </w:t>
      </w:r>
      <w:r w:rsidR="00973B64">
        <w:br/>
      </w:r>
      <w:r w:rsidRPr="00433825">
        <w:t>i spr</w:t>
      </w:r>
      <w:r w:rsidR="00B40EEA">
        <w:t>awdzone przez praktykę rozwiązania</w:t>
      </w:r>
      <w:r w:rsidRPr="00433825">
        <w:t xml:space="preserve"> w zakresie organizacji, kontroli wewnętrznej,</w:t>
      </w:r>
      <w:r w:rsidR="00973B64">
        <w:t xml:space="preserve"> </w:t>
      </w:r>
      <w:r w:rsidR="00973B64">
        <w:br/>
      </w:r>
      <w:r w:rsidRPr="00433825">
        <w:t>a w szczególności na podstawie;</w:t>
      </w:r>
    </w:p>
    <w:p w:rsidR="00433825" w:rsidRDefault="009005B5" w:rsidP="005156A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ustawy </w:t>
      </w:r>
      <w:r w:rsidR="00C10923">
        <w:t xml:space="preserve">z dnia 16 listopada 2000 r. </w:t>
      </w:r>
      <w:r>
        <w:t>o przeciwdziałaniu praniu pieniędzy oraz finansowaniu terroryzmu (</w:t>
      </w:r>
      <w:r w:rsidR="00C10923">
        <w:t>Dz.</w:t>
      </w:r>
      <w:r>
        <w:t>U. z 201</w:t>
      </w:r>
      <w:r w:rsidR="007E1344">
        <w:t>7</w:t>
      </w:r>
      <w:r w:rsidR="00E721B2">
        <w:t xml:space="preserve"> </w:t>
      </w:r>
      <w:r>
        <w:t xml:space="preserve">r.  poz. </w:t>
      </w:r>
      <w:r w:rsidR="007E1344">
        <w:t>1049</w:t>
      </w:r>
      <w:r>
        <w:t>),</w:t>
      </w:r>
    </w:p>
    <w:p w:rsidR="009005B5" w:rsidRDefault="009005B5" w:rsidP="005156A9">
      <w:pPr>
        <w:pStyle w:val="Akapitzlist"/>
        <w:numPr>
          <w:ilvl w:val="0"/>
          <w:numId w:val="3"/>
        </w:numPr>
        <w:spacing w:line="360" w:lineRule="auto"/>
        <w:jc w:val="both"/>
      </w:pPr>
      <w:r>
        <w:t>ustawy z dnia 6 c</w:t>
      </w:r>
      <w:r w:rsidR="00C10923">
        <w:t>zerwca 1997 r Kodeks karny (Dz.</w:t>
      </w:r>
      <w:r>
        <w:t xml:space="preserve">U. </w:t>
      </w:r>
      <w:r w:rsidR="007E1344">
        <w:t>z 2017</w:t>
      </w:r>
      <w:r w:rsidR="00E75A74">
        <w:t xml:space="preserve"> r. poz. </w:t>
      </w:r>
      <w:r w:rsidR="007E1344">
        <w:t>2204</w:t>
      </w:r>
      <w:r w:rsidR="00E75A74">
        <w:t>).</w:t>
      </w:r>
    </w:p>
    <w:p w:rsidR="009005B5" w:rsidRDefault="009005B5" w:rsidP="005156A9">
      <w:pPr>
        <w:jc w:val="both"/>
      </w:pPr>
    </w:p>
    <w:p w:rsidR="009005B5" w:rsidRDefault="009005B5" w:rsidP="005156A9">
      <w:pPr>
        <w:spacing w:line="360" w:lineRule="auto"/>
        <w:jc w:val="both"/>
      </w:pPr>
      <w:r w:rsidRPr="004503B8">
        <w:rPr>
          <w:b/>
        </w:rPr>
        <w:t>§ 2.</w:t>
      </w:r>
      <w:r>
        <w:t xml:space="preserve"> Ilekroć w niniejszej Instrukcji jest mowa o:</w:t>
      </w:r>
    </w:p>
    <w:p w:rsidR="009005B5" w:rsidRDefault="009005B5" w:rsidP="005156A9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ustawie</w:t>
      </w:r>
      <w:r>
        <w:t xml:space="preserve"> – dotyczy to ustawy z dnia 16 listopada 2000 r.</w:t>
      </w:r>
      <w:r w:rsidRPr="009005B5">
        <w:t xml:space="preserve"> </w:t>
      </w:r>
      <w:r>
        <w:t>o przeciwdziałaniu praniu pieniędzy</w:t>
      </w:r>
      <w:r w:rsidR="00973B64">
        <w:t xml:space="preserve"> oraz fi</w:t>
      </w:r>
      <w:r w:rsidR="00C10923">
        <w:t>nansow</w:t>
      </w:r>
      <w:r w:rsidR="00727A1D">
        <w:t>aniu terroryzmu (</w:t>
      </w:r>
      <w:r w:rsidR="00C10923">
        <w:t>Dz.</w:t>
      </w:r>
      <w:r w:rsidR="00973B64">
        <w:t xml:space="preserve">U. </w:t>
      </w:r>
      <w:r>
        <w:t>z 201</w:t>
      </w:r>
      <w:r w:rsidR="007E1344">
        <w:t>7</w:t>
      </w:r>
      <w:r>
        <w:t xml:space="preserve"> r. , poz. </w:t>
      </w:r>
      <w:r w:rsidR="007E1344">
        <w:t>1049</w:t>
      </w:r>
      <w:r>
        <w:t>.),</w:t>
      </w:r>
    </w:p>
    <w:p w:rsidR="00645298" w:rsidRDefault="009005B5" w:rsidP="005156A9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kodeksie karnym</w:t>
      </w:r>
      <w:r w:rsidR="00645298">
        <w:t xml:space="preserve"> – dotyczy to ustawy z dnia 6 czerwca 1997 </w:t>
      </w:r>
      <w:r w:rsidR="00C10923">
        <w:t>r Kodeks karny (Dz.</w:t>
      </w:r>
      <w:r w:rsidR="008203E7">
        <w:t xml:space="preserve">U. </w:t>
      </w:r>
      <w:r w:rsidR="007E1344">
        <w:br/>
        <w:t xml:space="preserve">z 2017 r. </w:t>
      </w:r>
      <w:r w:rsidR="00645298">
        <w:t xml:space="preserve">poz. </w:t>
      </w:r>
      <w:r w:rsidR="007E1344">
        <w:t>2204</w:t>
      </w:r>
      <w:r w:rsidR="00645298">
        <w:t>),</w:t>
      </w:r>
    </w:p>
    <w:p w:rsidR="00144D89" w:rsidRDefault="00926104" w:rsidP="005156A9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b/>
        </w:rPr>
        <w:t>Wójcie</w:t>
      </w:r>
      <w:r w:rsidR="00645298">
        <w:t xml:space="preserve"> –</w:t>
      </w:r>
      <w:r w:rsidR="00320B06">
        <w:t xml:space="preserve"> oznacza to Wójta Gminy Kwidzyn</w:t>
      </w:r>
      <w:r w:rsidR="00645298">
        <w:t>,</w:t>
      </w:r>
    </w:p>
    <w:p w:rsidR="00BE07C2" w:rsidRDefault="00BE07C2" w:rsidP="00BE07C2">
      <w:pPr>
        <w:pStyle w:val="Akapitzlist"/>
        <w:numPr>
          <w:ilvl w:val="0"/>
          <w:numId w:val="4"/>
        </w:numPr>
        <w:spacing w:line="360" w:lineRule="auto"/>
      </w:pPr>
      <w:r w:rsidRPr="00BE07C2">
        <w:rPr>
          <w:b/>
        </w:rPr>
        <w:t>Urzędzie</w:t>
      </w:r>
      <w:r w:rsidRPr="00BE07C2">
        <w:t xml:space="preserve"> –  oznacza to Urząd Gminy Kwidzyn</w:t>
      </w:r>
      <w:r w:rsidR="007E1344">
        <w:t>,</w:t>
      </w:r>
    </w:p>
    <w:p w:rsidR="007E1344" w:rsidRDefault="007E1344" w:rsidP="007E1344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Koordynatorze</w:t>
      </w:r>
      <w:r>
        <w:t xml:space="preserve"> – oznacza to wyznaczonego przez Wójta koordynatora ds. współpracy z Generalnym Inspektorem Informacji Finansowej,</w:t>
      </w:r>
    </w:p>
    <w:p w:rsidR="00645298" w:rsidRDefault="00645298" w:rsidP="00BE07C2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GI</w:t>
      </w:r>
      <w:r w:rsidR="006F1550" w:rsidRPr="00B23DEB">
        <w:rPr>
          <w:b/>
        </w:rPr>
        <w:t>I</w:t>
      </w:r>
      <w:r w:rsidRPr="00B23DEB">
        <w:rPr>
          <w:b/>
        </w:rPr>
        <w:t>F</w:t>
      </w:r>
      <w:r>
        <w:t xml:space="preserve"> – oznacza to Generalnego Inspektora Informacji Finansowej,</w:t>
      </w:r>
    </w:p>
    <w:p w:rsidR="008B0EBA" w:rsidRDefault="001D4922" w:rsidP="005156A9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p</w:t>
      </w:r>
      <w:r w:rsidR="0065330D">
        <w:rPr>
          <w:b/>
        </w:rPr>
        <w:t>raniu</w:t>
      </w:r>
      <w:r w:rsidRPr="00B23DEB">
        <w:rPr>
          <w:b/>
        </w:rPr>
        <w:t xml:space="preserve"> pieniędzy</w:t>
      </w:r>
      <w:r>
        <w:t xml:space="preserve"> – rozumie się przez to zamierzone postępowanie polegające na:</w:t>
      </w:r>
    </w:p>
    <w:p w:rsidR="001D4922" w:rsidRDefault="001D4922" w:rsidP="005156A9">
      <w:pPr>
        <w:pStyle w:val="Akapitzlist"/>
        <w:numPr>
          <w:ilvl w:val="0"/>
          <w:numId w:val="8"/>
        </w:numPr>
        <w:spacing w:line="360" w:lineRule="auto"/>
        <w:jc w:val="both"/>
      </w:pPr>
      <w:r>
        <w:t>zamianie lub przekazaniu wartości majątkowych pochod</w:t>
      </w:r>
      <w:r w:rsidR="00354386">
        <w:t>z</w:t>
      </w:r>
      <w:r>
        <w:t xml:space="preserve">ących z działalności </w:t>
      </w:r>
      <w:r w:rsidR="00941B31">
        <w:br/>
      </w:r>
      <w:r>
        <w:t xml:space="preserve">o charakterze przestępczym lub z udziału w takiej działalności, w celu ukrycia lub zatajenia bezprawnego pochodzenia tych wartości majątkowych albo udzieleniu pomocy osobie, która bierze udział w takiej działalności </w:t>
      </w:r>
      <w:r w:rsidR="00354386">
        <w:t>w celu uniknięcia przez nią</w:t>
      </w:r>
      <w:r>
        <w:t xml:space="preserve"> prawnych konsekwencji tych działań,</w:t>
      </w:r>
    </w:p>
    <w:p w:rsidR="001D4922" w:rsidRDefault="001D4922" w:rsidP="005156A9">
      <w:pPr>
        <w:pStyle w:val="Akapitzlist"/>
        <w:numPr>
          <w:ilvl w:val="0"/>
          <w:numId w:val="8"/>
        </w:numPr>
        <w:spacing w:line="360" w:lineRule="auto"/>
        <w:jc w:val="both"/>
      </w:pPr>
      <w:r>
        <w:t>ukryciu lub zatajeniu prawdziwego charakteru wartości majątkowych lub pra</w:t>
      </w:r>
      <w:r w:rsidR="00354386">
        <w:t>w zw</w:t>
      </w:r>
      <w:r>
        <w:t xml:space="preserve">iązanych z nimi, ich źródła, miejsca przechowywania, rozporządzania, faktu ich </w:t>
      </w:r>
      <w:r w:rsidR="00354386">
        <w:t>przemieszczania, ze świadomością</w:t>
      </w:r>
      <w:r w:rsidR="008012D5">
        <w:t>, ż</w:t>
      </w:r>
      <w:r>
        <w:t>e wartości te pochodzą z działalności o charakterze przestępczym lub udziału w takiej działalności</w:t>
      </w:r>
      <w:r w:rsidR="00354386">
        <w:t>,</w:t>
      </w:r>
    </w:p>
    <w:p w:rsidR="00354386" w:rsidRPr="00354386" w:rsidRDefault="00354386" w:rsidP="005156A9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nabyciu, objęciu w posiadanie albo używaniu wartości majątkowych pochodzących </w:t>
      </w:r>
      <w:r w:rsidR="00941B31">
        <w:br/>
      </w:r>
      <w:r>
        <w:t xml:space="preserve">z </w:t>
      </w:r>
      <w:r w:rsidRPr="00354386">
        <w:t>działalności o charakterze przestępczym lub udziału w takiej działalności,</w:t>
      </w:r>
    </w:p>
    <w:p w:rsidR="00354386" w:rsidRDefault="00354386" w:rsidP="005156A9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współdziałaniu, usiłowaniu popełnienia, pomocnictwie lub podżeganiu w przypadkach </w:t>
      </w:r>
      <w:proofErr w:type="spellStart"/>
      <w:r>
        <w:lastRenderedPageBreak/>
        <w:t>zachowań</w:t>
      </w:r>
      <w:proofErr w:type="spellEnd"/>
      <w:r>
        <w:t xml:space="preserve"> określonych w lit. a-c, równie jeżeli działania, w ramach których uzyskano wartości majątkowe, były prowadzone na terytorium innego państwa niż Rzeczpospolita Polska;</w:t>
      </w:r>
    </w:p>
    <w:p w:rsidR="00354386" w:rsidRDefault="00354386" w:rsidP="005156A9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przestępstwie z art. 299 kodeksu karnego</w:t>
      </w:r>
      <w:r>
        <w:t xml:space="preserve"> – należy przez to rozumieć przestępstwo polegające na przyjmowaniu, przekazywaniu lub wywożeniu za granicę, pomocy </w:t>
      </w:r>
      <w:r w:rsidR="00941B31">
        <w:br/>
      </w:r>
      <w:r>
        <w:t>w przenoszeniu ich własności lub posiadania albo podejmowaniu innych czynności, które mogą udaremnić lub znacznie utrudnić stwierdzenie ich przestępnego pochodzenia lub miejsca u</w:t>
      </w:r>
      <w:r w:rsidR="00941B31">
        <w:t>mieszczenia, ich wykrycia, zajęc</w:t>
      </w:r>
      <w:r>
        <w:t xml:space="preserve">ia albo orzeczenie przepadku środków płatniczych, instrumentów finansowych, papierów wartościowych, wartości dewizowych, praw majątkowych lub innego mienia ruchomego lub nieruchomości, pochodzących </w:t>
      </w:r>
      <w:r w:rsidR="00941B31">
        <w:br/>
      </w:r>
      <w:r>
        <w:t>z korzyści związanych z popełnieniem czynu zabronionego,</w:t>
      </w:r>
    </w:p>
    <w:p w:rsidR="00354386" w:rsidRDefault="00354386" w:rsidP="005156A9">
      <w:pPr>
        <w:pStyle w:val="Akapitzlist"/>
        <w:numPr>
          <w:ilvl w:val="0"/>
          <w:numId w:val="4"/>
        </w:numPr>
        <w:spacing w:line="360" w:lineRule="auto"/>
        <w:jc w:val="both"/>
      </w:pPr>
      <w:r w:rsidRPr="00B23DEB">
        <w:rPr>
          <w:b/>
        </w:rPr>
        <w:t>przestępstwie z art. 165a kodeksu karnego</w:t>
      </w:r>
      <w:r w:rsidRPr="00354386">
        <w:t xml:space="preserve"> – należy przez to rozumieć</w:t>
      </w:r>
      <w:r>
        <w:t xml:space="preserve"> gromadzenie, przekazywanie lub oferowanie środków płatniczych, </w:t>
      </w:r>
      <w:r w:rsidR="00611ED6" w:rsidRPr="00611ED6">
        <w:t>instrumentów finansowych, papierów wartościowych, wartości dewizowych, praw majątkowych lub innego mienia ruchomego lub nieruchomości</w:t>
      </w:r>
      <w:r w:rsidR="00611ED6">
        <w:t xml:space="preserve"> w celu sfinansowania przestępstwa o charakterze terrorystycznym;</w:t>
      </w:r>
    </w:p>
    <w:p w:rsidR="002309D6" w:rsidRDefault="002309D6" w:rsidP="005156A9">
      <w:pPr>
        <w:jc w:val="both"/>
      </w:pPr>
    </w:p>
    <w:p w:rsidR="00B23DEB" w:rsidRDefault="00B23DEB" w:rsidP="005156A9">
      <w:pPr>
        <w:spacing w:line="360" w:lineRule="auto"/>
        <w:jc w:val="both"/>
      </w:pPr>
      <w:r w:rsidRPr="00C5362C">
        <w:rPr>
          <w:b/>
        </w:rPr>
        <w:t xml:space="preserve">§ </w:t>
      </w:r>
      <w:r w:rsidR="008F3D2D">
        <w:rPr>
          <w:b/>
        </w:rPr>
        <w:t>3</w:t>
      </w:r>
      <w:r w:rsidRPr="00B23DEB">
        <w:t>.</w:t>
      </w:r>
      <w:r>
        <w:t xml:space="preserve"> </w:t>
      </w:r>
      <w:r w:rsidR="007E1344">
        <w:t>Pracownicy Urzędu zatrudnienie na stanowiskach urzędniczych, w trakcie wykonywania obowiązków służbowych zobowiązani są do zwracania szczególnej uwagi na:</w:t>
      </w:r>
    </w:p>
    <w:p w:rsidR="00A26856" w:rsidRDefault="007E1344" w:rsidP="005156A9">
      <w:pPr>
        <w:pStyle w:val="Akapitzlist"/>
        <w:numPr>
          <w:ilvl w:val="0"/>
          <w:numId w:val="6"/>
        </w:numPr>
        <w:spacing w:line="360" w:lineRule="auto"/>
        <w:jc w:val="both"/>
      </w:pPr>
      <w:r>
        <w:t>nietypowe transakcje związane</w:t>
      </w:r>
      <w:r w:rsidR="00A26856">
        <w:t xml:space="preserve"> z nabyciem majątku komunalnego,</w:t>
      </w:r>
    </w:p>
    <w:p w:rsidR="00A26856" w:rsidRDefault="007E1344" w:rsidP="005156A9">
      <w:pPr>
        <w:pStyle w:val="Akapitzlist"/>
        <w:numPr>
          <w:ilvl w:val="0"/>
          <w:numId w:val="6"/>
        </w:numPr>
        <w:spacing w:line="360" w:lineRule="auto"/>
        <w:jc w:val="both"/>
      </w:pPr>
      <w:r>
        <w:t>umowy</w:t>
      </w:r>
      <w:r w:rsidR="00C5362C">
        <w:t xml:space="preserve"> i tran</w:t>
      </w:r>
      <w:r>
        <w:t>sakcje związane</w:t>
      </w:r>
      <w:r w:rsidR="00A26856">
        <w:t xml:space="preserve"> z wykonywaniem przez inne </w:t>
      </w:r>
      <w:r w:rsidR="004864F6">
        <w:t xml:space="preserve">podmioty zadań publicznych </w:t>
      </w:r>
      <w:r>
        <w:br/>
      </w:r>
      <w:r w:rsidR="004864F6">
        <w:t>w jednostce samor</w:t>
      </w:r>
      <w:r w:rsidR="00C5362C">
        <w:t>zą</w:t>
      </w:r>
      <w:r>
        <w:t>du terytorialnego, realizowane</w:t>
      </w:r>
      <w:r w:rsidR="004864F6">
        <w:t xml:space="preserve"> w warunkach odbiegających od istniejących standardów,</w:t>
      </w:r>
    </w:p>
    <w:p w:rsidR="004864F6" w:rsidRDefault="007E1344" w:rsidP="005156A9">
      <w:pPr>
        <w:pStyle w:val="Akapitzlist"/>
        <w:numPr>
          <w:ilvl w:val="0"/>
          <w:numId w:val="6"/>
        </w:numPr>
        <w:spacing w:line="360" w:lineRule="auto"/>
        <w:jc w:val="both"/>
      </w:pPr>
      <w:r>
        <w:t>nietypowe</w:t>
      </w:r>
      <w:r w:rsidR="004864F6">
        <w:t xml:space="preserve"> </w:t>
      </w:r>
      <w:r>
        <w:t>zachowania i działania podejmowane</w:t>
      </w:r>
      <w:r w:rsidR="004864F6">
        <w:t xml:space="preserve"> przez uczestników postępowania</w:t>
      </w:r>
      <w:r w:rsidR="00C5362C">
        <w:t xml:space="preserve"> </w:t>
      </w:r>
      <w:r>
        <w:br/>
      </w:r>
      <w:r w:rsidR="004864F6">
        <w:t>o udzielenie zamówienia publicznego,</w:t>
      </w:r>
      <w:r w:rsidR="00C5362C">
        <w:t xml:space="preserve"> polegających np. na oferowaniu przez nich warunków wykonania zamówienia rażąco odbiegających od oferowanych przez innych oferentów,</w:t>
      </w:r>
    </w:p>
    <w:p w:rsidR="004864F6" w:rsidRDefault="007E1344" w:rsidP="005156A9">
      <w:pPr>
        <w:pStyle w:val="Akapitzlist"/>
        <w:numPr>
          <w:ilvl w:val="0"/>
          <w:numId w:val="6"/>
        </w:numPr>
        <w:spacing w:line="360" w:lineRule="auto"/>
        <w:jc w:val="both"/>
      </w:pPr>
      <w:r>
        <w:t>przypadki dokonywania</w:t>
      </w:r>
      <w:r w:rsidR="004864F6">
        <w:t xml:space="preserve"> przez podatników </w:t>
      </w:r>
      <w:r w:rsidR="00C5362C">
        <w:t xml:space="preserve">wysokich </w:t>
      </w:r>
      <w:r w:rsidR="004864F6">
        <w:t>nadpłat</w:t>
      </w:r>
      <w:r w:rsidR="00C5362C">
        <w:t xml:space="preserve"> podatków</w:t>
      </w:r>
      <w:r w:rsidR="004864F6">
        <w:t xml:space="preserve"> </w:t>
      </w:r>
      <w:r>
        <w:t>a następnie żądanie</w:t>
      </w:r>
      <w:r w:rsidR="00C5362C">
        <w:t xml:space="preserve"> zwrotu nadpłaty,</w:t>
      </w:r>
    </w:p>
    <w:p w:rsidR="004864F6" w:rsidRDefault="007E1344" w:rsidP="005156A9">
      <w:pPr>
        <w:pStyle w:val="Akapitzlist"/>
        <w:numPr>
          <w:ilvl w:val="0"/>
          <w:numId w:val="6"/>
        </w:numPr>
        <w:spacing w:line="360" w:lineRule="auto"/>
        <w:jc w:val="both"/>
      </w:pPr>
      <w:r>
        <w:t>dokonywanie wpłat należności w ratach lub kilkakrotnie w tym samym dniu,</w:t>
      </w:r>
    </w:p>
    <w:p w:rsidR="007E1344" w:rsidRDefault="007E1344" w:rsidP="005156A9">
      <w:pPr>
        <w:pStyle w:val="Akapitzlist"/>
        <w:numPr>
          <w:ilvl w:val="0"/>
          <w:numId w:val="6"/>
        </w:numPr>
        <w:spacing w:line="360" w:lineRule="auto"/>
        <w:jc w:val="both"/>
      </w:pPr>
      <w:r>
        <w:t>inne transakcje, w rozumieniu art. 2 pkt. 2 ustawy.</w:t>
      </w:r>
    </w:p>
    <w:p w:rsidR="00D918D3" w:rsidRDefault="00D918D3" w:rsidP="00E721B2">
      <w:pPr>
        <w:jc w:val="both"/>
      </w:pPr>
    </w:p>
    <w:p w:rsidR="00D918D3" w:rsidRDefault="00D918D3" w:rsidP="005156A9">
      <w:pPr>
        <w:spacing w:line="360" w:lineRule="auto"/>
        <w:ind w:left="567" w:hanging="567"/>
        <w:jc w:val="both"/>
      </w:pPr>
      <w:r w:rsidRPr="000C0AC6">
        <w:rPr>
          <w:b/>
        </w:rPr>
        <w:t xml:space="preserve">§ </w:t>
      </w:r>
      <w:r w:rsidR="008F3D2D">
        <w:rPr>
          <w:b/>
        </w:rPr>
        <w:t>4</w:t>
      </w:r>
      <w:r w:rsidR="008E73BD" w:rsidRPr="000C0AC6">
        <w:rPr>
          <w:b/>
        </w:rPr>
        <w:t>.</w:t>
      </w:r>
      <w:r w:rsidR="000C0AC6">
        <w:rPr>
          <w:b/>
        </w:rPr>
        <w:t xml:space="preserve"> </w:t>
      </w:r>
      <w:r w:rsidR="008E73BD">
        <w:t>1. Przekazaniu do GIIF podlegają wszystkie informacje będące w posiadaniu Urzędu lub ujawnione w toku jego działalności, wskazujące na podejrzenie popełnienia prania pieniędzy oraz finansowania terroryzmu.</w:t>
      </w:r>
    </w:p>
    <w:p w:rsidR="00A26856" w:rsidRDefault="008E73BD" w:rsidP="005156A9">
      <w:pPr>
        <w:spacing w:line="360" w:lineRule="auto"/>
        <w:ind w:left="567" w:hanging="141"/>
        <w:jc w:val="both"/>
      </w:pPr>
      <w:r>
        <w:t>2. Typując informacje w celu przekazania d</w:t>
      </w:r>
      <w:r w:rsidR="008012D5">
        <w:t>o GIIF należy brać pod uwagę, iż</w:t>
      </w:r>
      <w:r>
        <w:t>:</w:t>
      </w:r>
    </w:p>
    <w:p w:rsidR="008E73BD" w:rsidRDefault="008E73BD" w:rsidP="005156A9">
      <w:pPr>
        <w:spacing w:line="360" w:lineRule="auto"/>
        <w:ind w:left="1276" w:hanging="425"/>
        <w:jc w:val="both"/>
      </w:pPr>
      <w:r>
        <w:t xml:space="preserve">a) dla informacji, do których zgłaszania zobowiązany jest Urząd jako jednostka współpracująca, ustawa nie określa żadnych minimalnych </w:t>
      </w:r>
      <w:r w:rsidR="000C0AC6">
        <w:t>progów wart</w:t>
      </w:r>
      <w:r>
        <w:t xml:space="preserve">ości, </w:t>
      </w:r>
      <w:r w:rsidR="000C0AC6">
        <w:br/>
      </w:r>
      <w:r>
        <w:t xml:space="preserve">a jedynym wyznacznikiem dla tych informacji jest powzięte przypuszczenie, </w:t>
      </w:r>
      <w:r>
        <w:lastRenderedPageBreak/>
        <w:t>podejrzenie lub pewność co do popełnienia prania pieniędzy oraz finansowania terroryzmu,</w:t>
      </w:r>
    </w:p>
    <w:p w:rsidR="008E73BD" w:rsidRDefault="00467135" w:rsidP="005156A9">
      <w:pPr>
        <w:spacing w:line="360" w:lineRule="auto"/>
        <w:ind w:left="1134" w:hanging="283"/>
        <w:jc w:val="both"/>
      </w:pPr>
      <w:r>
        <w:t>b) współpraca Urzędu z GIIF polega między innymi na przekazywaniu do GIIF sygnałów, które niejednokrotnie dopiero po połączeniu z innymi informacjami dotyczącymi tych samych podmiotów mogą spowodować zawiadomienie prokuratury o popełnieniu przestępstw, o których mowa w art. 165a lu</w:t>
      </w:r>
      <w:r w:rsidR="000C0AC6">
        <w:t>b</w:t>
      </w:r>
      <w:r>
        <w:t xml:space="preserve"> art. 299 Kodeksu karnego.</w:t>
      </w:r>
    </w:p>
    <w:p w:rsidR="00467135" w:rsidRDefault="00467135" w:rsidP="005156A9">
      <w:pPr>
        <w:spacing w:line="360" w:lineRule="auto"/>
        <w:ind w:left="851" w:hanging="283"/>
        <w:jc w:val="both"/>
      </w:pPr>
      <w:r>
        <w:t>3. Informacje do GIIF powinny być przekazywane niezwłocznie i powinny mieć</w:t>
      </w:r>
      <w:r w:rsidR="0089245C">
        <w:t xml:space="preserve"> formę pisemnego powiadomienia. </w:t>
      </w:r>
      <w:r w:rsidR="007229A2">
        <w:t>Powiadomienie</w:t>
      </w:r>
      <w:r w:rsidR="007F0024">
        <w:t xml:space="preserve"> powinno zawierać jak najwięcej informacji </w:t>
      </w:r>
      <w:r w:rsidR="007F0024">
        <w:br/>
        <w:t>o transakcjach uzasadniających podejrzenie prania pieniędzy oraz finansowania terroryzmu oraz o podmiotach, których te działania dotyczą, a w szczególności:</w:t>
      </w:r>
    </w:p>
    <w:p w:rsidR="007F0024" w:rsidRDefault="007F0024" w:rsidP="005156A9">
      <w:pPr>
        <w:spacing w:line="360" w:lineRule="auto"/>
        <w:ind w:left="851" w:hanging="283"/>
        <w:jc w:val="both"/>
      </w:pPr>
      <w:r>
        <w:t>a) datę przeprowadzenia transakcji,</w:t>
      </w:r>
    </w:p>
    <w:p w:rsidR="007F0024" w:rsidRDefault="007F0024" w:rsidP="005156A9">
      <w:pPr>
        <w:spacing w:line="360" w:lineRule="auto"/>
        <w:ind w:left="851" w:hanging="283"/>
        <w:jc w:val="both"/>
      </w:pPr>
      <w:r>
        <w:t>b) dane identyfikacyjne stron transakcji, o których mowa w art.</w:t>
      </w:r>
      <w:r w:rsidR="00E721B2">
        <w:t xml:space="preserve"> </w:t>
      </w:r>
      <w:r>
        <w:t>9 ust. 1 i 2 ustawy,</w:t>
      </w:r>
    </w:p>
    <w:p w:rsidR="007F0024" w:rsidRDefault="007F0024" w:rsidP="005156A9">
      <w:pPr>
        <w:spacing w:line="360" w:lineRule="auto"/>
        <w:ind w:left="851" w:hanging="283"/>
        <w:jc w:val="both"/>
      </w:pPr>
      <w:r>
        <w:t>c) kwotę, walutę i rodzaj transakcji,</w:t>
      </w:r>
    </w:p>
    <w:p w:rsidR="007F0024" w:rsidRPr="00302A0C" w:rsidRDefault="007F0024" w:rsidP="005156A9">
      <w:pPr>
        <w:spacing w:line="360" w:lineRule="auto"/>
        <w:ind w:left="851" w:hanging="283"/>
        <w:jc w:val="both"/>
        <w:rPr>
          <w:color w:val="FF0000"/>
        </w:rPr>
      </w:pPr>
      <w:r>
        <w:t xml:space="preserve">d) numery rachunków, które zostały wykorzystane do przeprowadzenia transakcji, </w:t>
      </w:r>
      <w:r w:rsidR="00E721B2">
        <w:br/>
      </w:r>
      <w:r w:rsidR="00EF297A">
        <w:t>w przypadku transakcji z udziałem takich rachunków.</w:t>
      </w:r>
    </w:p>
    <w:p w:rsidR="00467135" w:rsidRPr="00302A0C" w:rsidRDefault="00467135" w:rsidP="005156A9">
      <w:pPr>
        <w:jc w:val="both"/>
        <w:rPr>
          <w:color w:val="FF0000"/>
        </w:rPr>
      </w:pPr>
    </w:p>
    <w:p w:rsidR="00D55E47" w:rsidRDefault="00A26856" w:rsidP="005156A9">
      <w:pPr>
        <w:spacing w:line="360" w:lineRule="auto"/>
        <w:jc w:val="both"/>
      </w:pPr>
      <w:r w:rsidRPr="00DA346E">
        <w:rPr>
          <w:b/>
        </w:rPr>
        <w:t xml:space="preserve">§ </w:t>
      </w:r>
      <w:r w:rsidR="008F3D2D" w:rsidRPr="00DA346E">
        <w:rPr>
          <w:b/>
        </w:rPr>
        <w:t>5</w:t>
      </w:r>
      <w:r w:rsidR="00144D89" w:rsidRPr="00433825">
        <w:t xml:space="preserve">. Pracownicy </w:t>
      </w:r>
      <w:r w:rsidR="009F2946">
        <w:t>Urzędu</w:t>
      </w:r>
      <w:r w:rsidR="00D55E47">
        <w:t>,</w:t>
      </w:r>
      <w:r w:rsidR="00D918D3">
        <w:t xml:space="preserve"> </w:t>
      </w:r>
      <w:r w:rsidR="00D55E47">
        <w:t>zatrudnieni na stanowiskach urzędniczych, zobowiązani są</w:t>
      </w:r>
      <w:r w:rsidR="00144D89" w:rsidRPr="00433825">
        <w:t>:</w:t>
      </w:r>
    </w:p>
    <w:p w:rsidR="00D55E47" w:rsidRDefault="00D55E47" w:rsidP="005156A9">
      <w:pPr>
        <w:pStyle w:val="Akapitzlist"/>
        <w:numPr>
          <w:ilvl w:val="0"/>
          <w:numId w:val="5"/>
        </w:numPr>
        <w:spacing w:line="360" w:lineRule="auto"/>
        <w:jc w:val="both"/>
      </w:pPr>
      <w:r w:rsidRPr="00D55E47">
        <w:t xml:space="preserve">zapoznać się z treścią instrukcji i bezwzględnie przestrzegać zawartych w niej postanowień </w:t>
      </w:r>
      <w:r>
        <w:t xml:space="preserve">oraz złożyć oświadczenie, zgodnie ze wzorem </w:t>
      </w:r>
      <w:r w:rsidRPr="00D55E47">
        <w:t>stanowi</w:t>
      </w:r>
      <w:r w:rsidR="008012D5">
        <w:t>ącym</w:t>
      </w:r>
      <w:r w:rsidRPr="00D55E47">
        <w:t xml:space="preserve"> załączni</w:t>
      </w:r>
      <w:r>
        <w:t xml:space="preserve">k nr 1 do niniejszej </w:t>
      </w:r>
      <w:r w:rsidRPr="00D55E47">
        <w:t>instrukcji.</w:t>
      </w:r>
    </w:p>
    <w:p w:rsidR="00D55E47" w:rsidRDefault="00D55E47" w:rsidP="005156A9">
      <w:pPr>
        <w:pStyle w:val="Akapitzlist"/>
        <w:numPr>
          <w:ilvl w:val="0"/>
          <w:numId w:val="5"/>
        </w:numPr>
        <w:spacing w:line="360" w:lineRule="auto"/>
        <w:jc w:val="both"/>
      </w:pPr>
      <w:r>
        <w:t>dokonywać</w:t>
      </w:r>
      <w:r w:rsidRPr="00D55E47">
        <w:t xml:space="preserve"> analizy i oceny realizowanych transakcji </w:t>
      </w:r>
      <w:r>
        <w:t xml:space="preserve">w rozumieniu art. 2 pkt 2 i </w:t>
      </w:r>
      <w:r w:rsidRPr="00D55E47">
        <w:t xml:space="preserve">pkt 9 ustawy, w których występują </w:t>
      </w:r>
      <w:r>
        <w:t>przesłan</w:t>
      </w:r>
      <w:r w:rsidR="00D7391F">
        <w:t>k</w:t>
      </w:r>
      <w:r>
        <w:t>i wskazujące na możliwości</w:t>
      </w:r>
      <w:r w:rsidRPr="00D55E47">
        <w:t xml:space="preserve"> prania pieniędzy</w:t>
      </w:r>
      <w:r>
        <w:t xml:space="preserve"> oraz finansowania terroryzmu,</w:t>
      </w:r>
    </w:p>
    <w:p w:rsidR="00144D89" w:rsidRDefault="001C348E" w:rsidP="005156A9">
      <w:pPr>
        <w:pStyle w:val="Akapitzlist"/>
        <w:numPr>
          <w:ilvl w:val="0"/>
          <w:numId w:val="5"/>
        </w:numPr>
        <w:spacing w:line="360" w:lineRule="auto"/>
        <w:jc w:val="both"/>
      </w:pPr>
      <w:r>
        <w:t>sporządzić potwierdzone kopie</w:t>
      </w:r>
      <w:r w:rsidR="00144D89" w:rsidRPr="00433825">
        <w:t xml:space="preserve"> dokumentów dotyczących transakcji, co do których zachodzi podejrzenie, że mają one związek z popełnieniem przestępstw, o których mowa </w:t>
      </w:r>
      <w:r w:rsidR="00973B64">
        <w:br/>
      </w:r>
      <w:r w:rsidR="00144D89" w:rsidRPr="00433825">
        <w:t>w art.165a lub art. 299 Kodeksu Karnego,</w:t>
      </w:r>
    </w:p>
    <w:p w:rsidR="001C348E" w:rsidRDefault="00144D89" w:rsidP="007E1344">
      <w:pPr>
        <w:pStyle w:val="Akapitzlist"/>
        <w:numPr>
          <w:ilvl w:val="0"/>
          <w:numId w:val="5"/>
        </w:numPr>
        <w:spacing w:line="360" w:lineRule="auto"/>
        <w:jc w:val="both"/>
      </w:pPr>
      <w:r w:rsidRPr="00433825">
        <w:t>zebra</w:t>
      </w:r>
      <w:r w:rsidR="00467135">
        <w:t>ć dostępne</w:t>
      </w:r>
      <w:r w:rsidR="008012D5">
        <w:t xml:space="preserve"> informacje</w:t>
      </w:r>
      <w:r w:rsidRPr="00433825">
        <w:t xml:space="preserve"> o osobac</w:t>
      </w:r>
      <w:r w:rsidR="001C348E">
        <w:t>h przeprowadzających te transakcje,</w:t>
      </w:r>
    </w:p>
    <w:p w:rsidR="00144D89" w:rsidRDefault="001C348E" w:rsidP="007E1344">
      <w:pPr>
        <w:pStyle w:val="Akapitzlist"/>
        <w:numPr>
          <w:ilvl w:val="0"/>
          <w:numId w:val="5"/>
        </w:numPr>
        <w:spacing w:line="360" w:lineRule="auto"/>
        <w:jc w:val="both"/>
      </w:pPr>
      <w:r>
        <w:t>dokonać</w:t>
      </w:r>
      <w:r w:rsidR="00144D89" w:rsidRPr="00433825">
        <w:t xml:space="preserve"> opisu </w:t>
      </w:r>
      <w:r>
        <w:t>tych transakcji,</w:t>
      </w:r>
      <w:r w:rsidR="008012D5">
        <w:t xml:space="preserve"> wraz z uzasadnieniem </w:t>
      </w:r>
      <w:r w:rsidR="00144D89" w:rsidRPr="00433825">
        <w:t>zachodzą</w:t>
      </w:r>
      <w:r w:rsidR="008012D5">
        <w:t>cych</w:t>
      </w:r>
      <w:r w:rsidR="00144D89" w:rsidRPr="00433825">
        <w:t xml:space="preserve"> okoliczności</w:t>
      </w:r>
      <w:r w:rsidR="008012D5">
        <w:t>,</w:t>
      </w:r>
      <w:r w:rsidR="00144D89" w:rsidRPr="00433825">
        <w:t xml:space="preserve"> </w:t>
      </w:r>
      <w:r w:rsidR="0089245C">
        <w:t>które mogą wskazywać na prowadzenie działań mających na celu pranie pieniędzy lub finansowanie terroryzmu,</w:t>
      </w:r>
    </w:p>
    <w:p w:rsidR="00144D89" w:rsidRDefault="000C0AC6" w:rsidP="007E134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sporządzić </w:t>
      </w:r>
      <w:r w:rsidR="008F3D2D">
        <w:t>projekt</w:t>
      </w:r>
      <w:r w:rsidR="00144D89" w:rsidRPr="00433825">
        <w:t xml:space="preserve"> powiadomienia </w:t>
      </w:r>
      <w:r w:rsidR="009F2946">
        <w:t>GIIF</w:t>
      </w:r>
      <w:r w:rsidR="00EF297A">
        <w:t>,</w:t>
      </w:r>
      <w:r w:rsidR="00EF297A" w:rsidRPr="00EF297A">
        <w:t xml:space="preserve"> którego wzór stanowi załączni</w:t>
      </w:r>
      <w:r w:rsidR="00E721B2">
        <w:t>k nr 2 do niniejszej Instrukcji</w:t>
      </w:r>
      <w:r>
        <w:t xml:space="preserve"> i przekazać</w:t>
      </w:r>
      <w:r w:rsidR="00144D89" w:rsidRPr="00433825">
        <w:t xml:space="preserve"> </w:t>
      </w:r>
      <w:r>
        <w:t>go</w:t>
      </w:r>
      <w:r w:rsidR="00144D89" w:rsidRPr="00433825">
        <w:t xml:space="preserve"> Koordynatorowi</w:t>
      </w:r>
      <w:r w:rsidR="00973B64">
        <w:t>.</w:t>
      </w:r>
    </w:p>
    <w:p w:rsidR="00144D89" w:rsidRPr="00433825" w:rsidRDefault="00144D89" w:rsidP="00E721B2">
      <w:pPr>
        <w:jc w:val="both"/>
      </w:pPr>
    </w:p>
    <w:p w:rsidR="000C0AC6" w:rsidRDefault="00AD1775" w:rsidP="005156A9">
      <w:pPr>
        <w:spacing w:line="360" w:lineRule="auto"/>
        <w:jc w:val="both"/>
      </w:pPr>
      <w:r w:rsidRPr="004503B8">
        <w:rPr>
          <w:b/>
        </w:rPr>
        <w:t>§ 6.</w:t>
      </w:r>
      <w:r w:rsidR="00144D89" w:rsidRPr="00433825">
        <w:t xml:space="preserve"> </w:t>
      </w:r>
      <w:r w:rsidR="000C0AC6">
        <w:t xml:space="preserve">1. </w:t>
      </w:r>
      <w:r w:rsidR="00144D89" w:rsidRPr="00433825">
        <w:t xml:space="preserve">Koordynator uznając zasadność podjęcia działań </w:t>
      </w:r>
      <w:r w:rsidR="000C0AC6">
        <w:t>wnioskowanych przez pracownika</w:t>
      </w:r>
      <w:r w:rsidR="00144D89" w:rsidRPr="00433825">
        <w:t xml:space="preserve">, przedstawia </w:t>
      </w:r>
      <w:r w:rsidR="008F3D2D">
        <w:t>Wójtowi</w:t>
      </w:r>
      <w:r w:rsidR="000C0AC6">
        <w:t xml:space="preserve"> projekt powiadomienia GIIF.</w:t>
      </w:r>
    </w:p>
    <w:p w:rsidR="00144D89" w:rsidRPr="00433825" w:rsidRDefault="000C0AC6" w:rsidP="005156A9">
      <w:pPr>
        <w:spacing w:line="360" w:lineRule="auto"/>
        <w:jc w:val="both"/>
      </w:pPr>
      <w:r>
        <w:t xml:space="preserve">2. </w:t>
      </w:r>
      <w:r w:rsidR="00144D89" w:rsidRPr="00433825">
        <w:t xml:space="preserve">W przypadku stwierdzenia braku zasadności powiadomienia GIIF </w:t>
      </w:r>
      <w:r>
        <w:t>- K</w:t>
      </w:r>
      <w:r w:rsidR="00144D89" w:rsidRPr="00433825">
        <w:t xml:space="preserve">oordynator sporządza uzasadnienie swojego stanowiska i przedstawia je </w:t>
      </w:r>
      <w:r w:rsidR="008F3D2D">
        <w:t>Wójtowi</w:t>
      </w:r>
      <w:r w:rsidR="00144D89" w:rsidRPr="00433825">
        <w:t xml:space="preserve">, celem podjęcia odpowiedniej decyzji. </w:t>
      </w:r>
    </w:p>
    <w:p w:rsidR="00144D89" w:rsidRPr="00433825" w:rsidRDefault="00926104" w:rsidP="005156A9">
      <w:pPr>
        <w:spacing w:line="360" w:lineRule="auto"/>
        <w:jc w:val="both"/>
      </w:pPr>
      <w:r>
        <w:lastRenderedPageBreak/>
        <w:t>3.</w:t>
      </w:r>
      <w:r w:rsidR="00320B06">
        <w:t xml:space="preserve"> Koordynator</w:t>
      </w:r>
      <w:r w:rsidR="00144D89" w:rsidRPr="00433825">
        <w:t xml:space="preserve"> przekazuje </w:t>
      </w:r>
      <w:r w:rsidR="009F2946">
        <w:t>GIIF</w:t>
      </w:r>
      <w:r w:rsidR="00144D89" w:rsidRPr="00433825">
        <w:t xml:space="preserve"> podpisane przez </w:t>
      </w:r>
      <w:r w:rsidR="00AD1775" w:rsidRPr="008F3D2D">
        <w:t>Wójta</w:t>
      </w:r>
      <w:r w:rsidR="00144D89" w:rsidRPr="00433825">
        <w:t xml:space="preserve"> powiadomienie wraz z dokumentacją</w:t>
      </w:r>
      <w:r w:rsidR="00EF297A">
        <w:t>.</w:t>
      </w:r>
    </w:p>
    <w:p w:rsidR="00144D89" w:rsidRPr="00433825" w:rsidRDefault="00926104" w:rsidP="005156A9">
      <w:pPr>
        <w:spacing w:line="360" w:lineRule="auto"/>
        <w:jc w:val="both"/>
      </w:pPr>
      <w:r>
        <w:t xml:space="preserve">4. </w:t>
      </w:r>
      <w:r w:rsidR="00144D89" w:rsidRPr="00433825">
        <w:t xml:space="preserve">Kopie powiadomienia GIIF wraz z dokumentacją oraz projekty powiadomień są </w:t>
      </w:r>
      <w:r w:rsidR="00BB5F5B">
        <w:t>ewidencjonowane w prowadzonym</w:t>
      </w:r>
      <w:r w:rsidR="00144D89" w:rsidRPr="00433825">
        <w:t xml:space="preserve"> </w:t>
      </w:r>
      <w:r w:rsidR="008F3D2D">
        <w:t>przez K</w:t>
      </w:r>
      <w:r>
        <w:t xml:space="preserve">oordynatora </w:t>
      </w:r>
      <w:r w:rsidR="00144D89" w:rsidRPr="00433825">
        <w:t xml:space="preserve">rejestrze, którego wzór stanowi </w:t>
      </w:r>
      <w:r w:rsidR="00E721B2">
        <w:br/>
      </w:r>
      <w:r w:rsidR="00144D89" w:rsidRPr="00433825">
        <w:t xml:space="preserve">załącznik </w:t>
      </w:r>
      <w:r w:rsidR="00AD1775">
        <w:t>n</w:t>
      </w:r>
      <w:r w:rsidR="00144D89" w:rsidRPr="00433825">
        <w:t xml:space="preserve">r </w:t>
      </w:r>
      <w:r w:rsidR="00AD1775">
        <w:t>3</w:t>
      </w:r>
      <w:r w:rsidR="00144D89" w:rsidRPr="00433825">
        <w:t xml:space="preserve"> do</w:t>
      </w:r>
      <w:r w:rsidR="00144D89">
        <w:rPr>
          <w:rFonts w:ascii="Arial" w:hAnsi="Arial" w:cs="Arial"/>
        </w:rPr>
        <w:t xml:space="preserve"> </w:t>
      </w:r>
      <w:r w:rsidR="00AD1775">
        <w:t>niniejszej Instrukcji.</w:t>
      </w:r>
    </w:p>
    <w:p w:rsidR="00144D89" w:rsidRDefault="00926104" w:rsidP="005156A9">
      <w:pPr>
        <w:spacing w:line="360" w:lineRule="auto"/>
        <w:jc w:val="both"/>
      </w:pPr>
      <w:r w:rsidRPr="008F3D2D">
        <w:t>5</w:t>
      </w:r>
      <w:r>
        <w:rPr>
          <w:b/>
        </w:rPr>
        <w:t xml:space="preserve">. </w:t>
      </w:r>
      <w:r w:rsidR="00144D89" w:rsidRPr="00433825">
        <w:t xml:space="preserve">Dostęp do rejestru i dokumentacji w sprawie powiadomienia GIIF </w:t>
      </w:r>
      <w:r w:rsidR="008F3D2D">
        <w:t>oprócz K</w:t>
      </w:r>
      <w:r w:rsidR="004503B8">
        <w:t xml:space="preserve">oordynatora </w:t>
      </w:r>
      <w:r>
        <w:t>mają:</w:t>
      </w:r>
    </w:p>
    <w:p w:rsidR="00AD1775" w:rsidRDefault="00926104" w:rsidP="005156A9">
      <w:pPr>
        <w:pStyle w:val="Akapitzlist"/>
        <w:numPr>
          <w:ilvl w:val="0"/>
          <w:numId w:val="7"/>
        </w:numPr>
        <w:spacing w:line="360" w:lineRule="auto"/>
        <w:jc w:val="both"/>
      </w:pPr>
      <w:r>
        <w:t>Wójt</w:t>
      </w:r>
      <w:r w:rsidR="00AD1775">
        <w:t>,</w:t>
      </w:r>
    </w:p>
    <w:p w:rsidR="00926104" w:rsidRDefault="00926104" w:rsidP="005156A9">
      <w:pPr>
        <w:pStyle w:val="Akapitzlist"/>
        <w:numPr>
          <w:ilvl w:val="0"/>
          <w:numId w:val="7"/>
        </w:numPr>
        <w:spacing w:line="360" w:lineRule="auto"/>
        <w:jc w:val="both"/>
      </w:pPr>
      <w:r>
        <w:t>Zastępca Wójta,</w:t>
      </w:r>
    </w:p>
    <w:p w:rsidR="00AD1775" w:rsidRDefault="004503B8" w:rsidP="005156A9">
      <w:pPr>
        <w:pStyle w:val="Akapitzlist"/>
        <w:numPr>
          <w:ilvl w:val="0"/>
          <w:numId w:val="7"/>
        </w:numPr>
        <w:spacing w:line="360" w:lineRule="auto"/>
        <w:jc w:val="both"/>
      </w:pPr>
      <w:r>
        <w:t>S</w:t>
      </w:r>
      <w:r w:rsidR="00AD1775">
        <w:t xml:space="preserve">ekretarz </w:t>
      </w:r>
      <w:r>
        <w:t>G</w:t>
      </w:r>
      <w:r w:rsidR="008012D5">
        <w:t>miny.</w:t>
      </w:r>
    </w:p>
    <w:p w:rsidR="00144D89" w:rsidRPr="00433825" w:rsidRDefault="00144D89" w:rsidP="005156A9">
      <w:pPr>
        <w:spacing w:line="360" w:lineRule="auto"/>
        <w:jc w:val="both"/>
      </w:pPr>
    </w:p>
    <w:p w:rsidR="00144D89" w:rsidRPr="00433825" w:rsidRDefault="00AD1775" w:rsidP="005156A9">
      <w:pPr>
        <w:spacing w:line="360" w:lineRule="auto"/>
        <w:jc w:val="both"/>
      </w:pPr>
      <w:r w:rsidRPr="004503B8">
        <w:rPr>
          <w:b/>
        </w:rPr>
        <w:t xml:space="preserve">§ </w:t>
      </w:r>
      <w:r w:rsidR="008F3D2D">
        <w:rPr>
          <w:b/>
        </w:rPr>
        <w:t>7</w:t>
      </w:r>
      <w:r>
        <w:t xml:space="preserve">. </w:t>
      </w:r>
      <w:r w:rsidR="00144D89" w:rsidRPr="00433825">
        <w:t>Koordynator odpowiada za realizację zadań wynikających z art. 15 i art. 15a ustawy.</w:t>
      </w:r>
      <w:r>
        <w:t xml:space="preserve"> </w:t>
      </w:r>
      <w:r w:rsidR="00144D89" w:rsidRPr="00433825">
        <w:t>Do jego obowiązków w szczególności należy:</w:t>
      </w:r>
    </w:p>
    <w:p w:rsidR="00144D89" w:rsidRDefault="008F3D2D" w:rsidP="005156A9">
      <w:pPr>
        <w:pStyle w:val="Akapitzlist"/>
        <w:numPr>
          <w:ilvl w:val="0"/>
          <w:numId w:val="9"/>
        </w:numPr>
        <w:spacing w:line="360" w:lineRule="auto"/>
        <w:jc w:val="both"/>
      </w:pPr>
      <w:r>
        <w:t>w</w:t>
      </w:r>
      <w:r w:rsidR="00926104">
        <w:t>ysyłanie powiadomienia do GIIF o podejrzeniu popełnienia przestępstw prania pieniędzy oraz finansowania terroryzmu,</w:t>
      </w:r>
    </w:p>
    <w:p w:rsidR="00926104" w:rsidRDefault="00926104" w:rsidP="005156A9">
      <w:pPr>
        <w:pStyle w:val="Akapitzlist"/>
        <w:numPr>
          <w:ilvl w:val="0"/>
          <w:numId w:val="9"/>
        </w:numPr>
        <w:spacing w:line="360" w:lineRule="auto"/>
        <w:jc w:val="both"/>
      </w:pPr>
      <w:r>
        <w:t>prowadzenie rejestru powiadomień GIIF,</w:t>
      </w:r>
    </w:p>
    <w:p w:rsidR="00144D89" w:rsidRDefault="00144D89" w:rsidP="005156A9">
      <w:pPr>
        <w:pStyle w:val="Akapitzlist"/>
        <w:numPr>
          <w:ilvl w:val="0"/>
          <w:numId w:val="9"/>
        </w:numPr>
        <w:spacing w:line="360" w:lineRule="auto"/>
        <w:jc w:val="both"/>
      </w:pPr>
      <w:r w:rsidRPr="00433825">
        <w:t>okresowa analiza zapisów rejestru powiadomień Generalnego Inspektora Informacji Finansowej.</w:t>
      </w:r>
    </w:p>
    <w:p w:rsidR="00926104" w:rsidRPr="00433825" w:rsidRDefault="00926104" w:rsidP="005156A9">
      <w:pPr>
        <w:pStyle w:val="Akapitzlist"/>
        <w:numPr>
          <w:ilvl w:val="0"/>
          <w:numId w:val="9"/>
        </w:numPr>
        <w:spacing w:line="360" w:lineRule="auto"/>
        <w:jc w:val="both"/>
      </w:pPr>
      <w:r w:rsidRPr="00926104">
        <w:t xml:space="preserve">nadzór nad przestrzeganiem zasad zawartych w niniejszej instrukcji i przedstawianie </w:t>
      </w:r>
      <w:r>
        <w:t xml:space="preserve">Wójtowi ewentualnych </w:t>
      </w:r>
      <w:r w:rsidRPr="00926104">
        <w:t>propozycji dotyczących uzu</w:t>
      </w:r>
      <w:r w:rsidR="00E721B2">
        <w:t>pełnienia lub zmiany jej treści.</w:t>
      </w:r>
    </w:p>
    <w:p w:rsidR="00144D89" w:rsidRPr="00433825" w:rsidRDefault="00144D89" w:rsidP="00E721B2">
      <w:pPr>
        <w:ind w:left="360"/>
        <w:jc w:val="both"/>
      </w:pPr>
    </w:p>
    <w:p w:rsidR="00144D89" w:rsidRPr="00EF297A" w:rsidRDefault="008F3D2D" w:rsidP="005156A9">
      <w:pPr>
        <w:spacing w:line="360" w:lineRule="auto"/>
        <w:ind w:left="360" w:hanging="360"/>
        <w:jc w:val="both"/>
      </w:pPr>
      <w:r w:rsidRPr="00DA346E">
        <w:rPr>
          <w:b/>
        </w:rPr>
        <w:t>§ 8.</w:t>
      </w:r>
      <w:r>
        <w:t xml:space="preserve"> </w:t>
      </w:r>
      <w:r w:rsidR="00EF297A">
        <w:t>1.</w:t>
      </w:r>
      <w:r>
        <w:t>Przekazywanie dokumentów</w:t>
      </w:r>
      <w:r w:rsidR="00302A0C">
        <w:t xml:space="preserve"> i informacji do GIIF następuje</w:t>
      </w:r>
      <w:r>
        <w:t xml:space="preserve"> w trybie przewidzianym dla dokumentów zawierających informacje niejawne, stanowiące tajemnicę służbową </w:t>
      </w:r>
      <w:r w:rsidR="00302A0C">
        <w:br/>
      </w:r>
      <w:r>
        <w:t xml:space="preserve">i oznaczonych klauzulą ZASTRZEŻONE w rozumieniu przepisów ustawy z dnia </w:t>
      </w:r>
      <w:r w:rsidR="00541036">
        <w:t>5 sierpnia</w:t>
      </w:r>
      <w:r>
        <w:t xml:space="preserve"> </w:t>
      </w:r>
      <w:r w:rsidR="00541036">
        <w:t>2010</w:t>
      </w:r>
      <w:r>
        <w:t xml:space="preserve"> r. o ochronie in</w:t>
      </w:r>
      <w:r w:rsidR="00541036">
        <w:t>formacji niejawnych (Dz.U. z 2016</w:t>
      </w:r>
      <w:r w:rsidR="003F1A4D">
        <w:t xml:space="preserve"> </w:t>
      </w:r>
      <w:r>
        <w:t>r., poz.</w:t>
      </w:r>
      <w:r w:rsidR="003F1A4D">
        <w:t>1</w:t>
      </w:r>
      <w:r w:rsidR="00541036">
        <w:t>167 ze zm.</w:t>
      </w:r>
      <w:r w:rsidRPr="00EF297A">
        <w:t>)</w:t>
      </w:r>
      <w:r w:rsidR="00EF297A">
        <w:t>.</w:t>
      </w:r>
    </w:p>
    <w:p w:rsidR="00926104" w:rsidRDefault="00EF297A" w:rsidP="005156A9">
      <w:pPr>
        <w:spacing w:line="360" w:lineRule="auto"/>
        <w:ind w:left="360"/>
        <w:jc w:val="both"/>
      </w:pPr>
      <w:r>
        <w:t xml:space="preserve">2. Ujawnianie osobom nieuprawnionym, w tym także podmiotom mającym związek </w:t>
      </w:r>
      <w:r>
        <w:br/>
        <w:t>z działaniami, faktu poinformowania GIIF o tych działaniach i ich okoliczności jest zabronione.</w:t>
      </w:r>
    </w:p>
    <w:p w:rsidR="00EF297A" w:rsidRDefault="00EF297A" w:rsidP="00E721B2">
      <w:pPr>
        <w:ind w:left="360"/>
        <w:jc w:val="both"/>
      </w:pPr>
    </w:p>
    <w:p w:rsidR="00926104" w:rsidRDefault="00EF297A" w:rsidP="005156A9">
      <w:pPr>
        <w:spacing w:line="360" w:lineRule="auto"/>
        <w:jc w:val="both"/>
      </w:pPr>
      <w:r w:rsidRPr="00DA346E">
        <w:rPr>
          <w:b/>
        </w:rPr>
        <w:t>§ 9</w:t>
      </w:r>
      <w:r>
        <w:t xml:space="preserve">. W sprawach nieuregulowanych w niniejszej instrukcji mają zastosowanie przepisy ustawy </w:t>
      </w:r>
      <w:r w:rsidR="00E721B2">
        <w:br/>
      </w:r>
      <w:r>
        <w:t xml:space="preserve">z dnia 16 listopada </w:t>
      </w:r>
      <w:r w:rsidR="00DA346E">
        <w:t>2000 r. o przeciwdziałaniu praniu pieniędzy oraz finansowaniu terroryzmu.</w:t>
      </w:r>
    </w:p>
    <w:p w:rsidR="00DA346E" w:rsidRDefault="00DA346E" w:rsidP="005156A9">
      <w:pPr>
        <w:spacing w:line="360" w:lineRule="auto"/>
        <w:jc w:val="both"/>
      </w:pPr>
    </w:p>
    <w:p w:rsidR="00DA346E" w:rsidRPr="00433825" w:rsidRDefault="00DA346E" w:rsidP="00EF297A">
      <w:pPr>
        <w:jc w:val="both"/>
      </w:pPr>
    </w:p>
    <w:p w:rsidR="00144D89" w:rsidRDefault="00144D89" w:rsidP="00144D89">
      <w:pPr>
        <w:ind w:left="360"/>
        <w:jc w:val="both"/>
        <w:rPr>
          <w:rFonts w:ascii="Arial" w:hAnsi="Arial" w:cs="Arial"/>
        </w:rPr>
      </w:pPr>
      <w:r w:rsidRPr="00433825">
        <w:t xml:space="preserve">                                                                                 </w:t>
      </w:r>
      <w:r>
        <w:rPr>
          <w:rFonts w:ascii="Arial" w:hAnsi="Arial" w:cs="Arial"/>
        </w:rPr>
        <w:t>…………………………………..</w:t>
      </w:r>
    </w:p>
    <w:p w:rsidR="00144D89" w:rsidRDefault="00144D89" w:rsidP="00144D89">
      <w:pPr>
        <w:jc w:val="both"/>
        <w:rPr>
          <w:rFonts w:ascii="Arial" w:hAnsi="Arial" w:cs="Arial"/>
        </w:rPr>
      </w:pPr>
    </w:p>
    <w:p w:rsidR="00144D89" w:rsidRDefault="00144D89" w:rsidP="00144D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(podpis </w:t>
      </w:r>
      <w:r w:rsidR="00926104">
        <w:rPr>
          <w:rFonts w:ascii="Arial" w:hAnsi="Arial" w:cs="Arial"/>
          <w:sz w:val="20"/>
          <w:szCs w:val="20"/>
        </w:rPr>
        <w:t>Wójta</w:t>
      </w:r>
      <w:r>
        <w:rPr>
          <w:rFonts w:ascii="Arial" w:hAnsi="Arial" w:cs="Arial"/>
          <w:sz w:val="20"/>
          <w:szCs w:val="20"/>
        </w:rPr>
        <w:t>)</w:t>
      </w:r>
    </w:p>
    <w:p w:rsidR="00144D89" w:rsidRDefault="00144D89" w:rsidP="00144D89">
      <w:pPr>
        <w:ind w:firstLine="6840"/>
        <w:rPr>
          <w:rFonts w:ascii="Arial" w:hAnsi="Arial" w:cs="Arial"/>
          <w:sz w:val="20"/>
          <w:szCs w:val="20"/>
        </w:rPr>
      </w:pPr>
    </w:p>
    <w:p w:rsidR="00144D89" w:rsidRDefault="00144D89" w:rsidP="00144D89">
      <w:pPr>
        <w:ind w:firstLine="6840"/>
        <w:rPr>
          <w:rFonts w:ascii="Arial" w:hAnsi="Arial" w:cs="Arial"/>
          <w:sz w:val="20"/>
          <w:szCs w:val="20"/>
        </w:rPr>
      </w:pPr>
    </w:p>
    <w:p w:rsidR="00144D89" w:rsidRDefault="00144D89" w:rsidP="00144D89">
      <w:pPr>
        <w:ind w:firstLine="6840"/>
        <w:rPr>
          <w:rFonts w:ascii="Arial" w:hAnsi="Arial" w:cs="Arial"/>
          <w:sz w:val="20"/>
          <w:szCs w:val="20"/>
        </w:rPr>
      </w:pPr>
    </w:p>
    <w:p w:rsidR="00926104" w:rsidRDefault="00926104" w:rsidP="00144D89">
      <w:pPr>
        <w:ind w:firstLine="6840"/>
        <w:rPr>
          <w:rFonts w:ascii="Arial" w:hAnsi="Arial" w:cs="Arial"/>
          <w:sz w:val="20"/>
          <w:szCs w:val="20"/>
        </w:rPr>
      </w:pPr>
    </w:p>
    <w:p w:rsidR="00926104" w:rsidRDefault="00926104" w:rsidP="00144D89">
      <w:pPr>
        <w:ind w:firstLine="6840"/>
        <w:rPr>
          <w:rFonts w:ascii="Arial" w:hAnsi="Arial" w:cs="Arial"/>
          <w:sz w:val="20"/>
          <w:szCs w:val="20"/>
        </w:rPr>
      </w:pPr>
    </w:p>
    <w:p w:rsidR="00926104" w:rsidRDefault="00926104" w:rsidP="00144D89">
      <w:pPr>
        <w:ind w:firstLine="6840"/>
        <w:rPr>
          <w:rFonts w:ascii="Arial" w:hAnsi="Arial" w:cs="Arial"/>
          <w:sz w:val="20"/>
          <w:szCs w:val="20"/>
        </w:rPr>
      </w:pPr>
    </w:p>
    <w:p w:rsidR="00926104" w:rsidRDefault="00926104" w:rsidP="00144D89">
      <w:pPr>
        <w:ind w:firstLine="6840"/>
        <w:rPr>
          <w:rFonts w:ascii="Arial" w:hAnsi="Arial" w:cs="Arial"/>
          <w:sz w:val="20"/>
          <w:szCs w:val="20"/>
        </w:rPr>
      </w:pPr>
    </w:p>
    <w:p w:rsidR="00B40EEA" w:rsidRDefault="00B40EEA" w:rsidP="00E721B2">
      <w:pPr>
        <w:rPr>
          <w:rFonts w:ascii="Arial" w:hAnsi="Arial" w:cs="Arial"/>
          <w:sz w:val="20"/>
          <w:szCs w:val="20"/>
        </w:rPr>
      </w:pPr>
    </w:p>
    <w:p w:rsidR="00926104" w:rsidRDefault="00926104" w:rsidP="00144D89">
      <w:pPr>
        <w:ind w:firstLine="6840"/>
        <w:rPr>
          <w:rFonts w:ascii="Arial" w:hAnsi="Arial" w:cs="Arial"/>
          <w:sz w:val="20"/>
          <w:szCs w:val="20"/>
        </w:rPr>
      </w:pPr>
    </w:p>
    <w:p w:rsidR="00144D89" w:rsidRDefault="00144D89" w:rsidP="00DA346E">
      <w:pPr>
        <w:tabs>
          <w:tab w:val="left" w:pos="9356"/>
        </w:tabs>
        <w:jc w:val="right"/>
        <w:rPr>
          <w:rFonts w:ascii="Arial" w:hAnsi="Arial" w:cs="Arial"/>
          <w:sz w:val="20"/>
          <w:szCs w:val="20"/>
        </w:rPr>
      </w:pPr>
    </w:p>
    <w:p w:rsidR="0022359C" w:rsidRDefault="0022359C" w:rsidP="00DA346E">
      <w:pPr>
        <w:tabs>
          <w:tab w:val="left" w:pos="9356"/>
          <w:tab w:val="left" w:pos="9639"/>
        </w:tabs>
        <w:ind w:firstLine="6840"/>
        <w:jc w:val="right"/>
        <w:rPr>
          <w:sz w:val="20"/>
          <w:szCs w:val="20"/>
        </w:rPr>
      </w:pPr>
      <w:r w:rsidRPr="004503B8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1</w:t>
      </w:r>
      <w:r w:rsidRPr="004503B8">
        <w:rPr>
          <w:sz w:val="20"/>
          <w:szCs w:val="20"/>
        </w:rPr>
        <w:t xml:space="preserve"> </w:t>
      </w:r>
      <w:r w:rsidR="00DA346E">
        <w:rPr>
          <w:sz w:val="20"/>
          <w:szCs w:val="20"/>
        </w:rPr>
        <w:br/>
      </w:r>
      <w:r w:rsidRPr="004503B8">
        <w:rPr>
          <w:sz w:val="20"/>
          <w:szCs w:val="20"/>
        </w:rPr>
        <w:t xml:space="preserve">do </w:t>
      </w:r>
      <w:r w:rsidRPr="0022359C">
        <w:rPr>
          <w:sz w:val="20"/>
          <w:szCs w:val="20"/>
        </w:rPr>
        <w:t>Instrukcj</w:t>
      </w:r>
      <w:r>
        <w:rPr>
          <w:sz w:val="20"/>
          <w:szCs w:val="20"/>
        </w:rPr>
        <w:t>i</w:t>
      </w:r>
      <w:r w:rsidR="00DA346E">
        <w:rPr>
          <w:sz w:val="20"/>
          <w:szCs w:val="20"/>
        </w:rPr>
        <w:t xml:space="preserve"> postępowania </w:t>
      </w:r>
      <w:r w:rsidRPr="0022359C">
        <w:rPr>
          <w:sz w:val="20"/>
          <w:szCs w:val="20"/>
        </w:rPr>
        <w:t xml:space="preserve">w zakresie </w:t>
      </w:r>
      <w:r w:rsidR="00DA346E">
        <w:rPr>
          <w:sz w:val="20"/>
          <w:szCs w:val="20"/>
        </w:rPr>
        <w:br/>
      </w:r>
      <w:r w:rsidRPr="0022359C">
        <w:rPr>
          <w:sz w:val="20"/>
          <w:szCs w:val="20"/>
        </w:rPr>
        <w:t xml:space="preserve">przeciwdziałania </w:t>
      </w:r>
      <w:r w:rsidR="00DA346E">
        <w:rPr>
          <w:sz w:val="20"/>
          <w:szCs w:val="20"/>
        </w:rPr>
        <w:t>praniu pieniędzy</w:t>
      </w:r>
      <w:r w:rsidR="00DA346E">
        <w:rPr>
          <w:sz w:val="20"/>
          <w:szCs w:val="20"/>
        </w:rPr>
        <w:br/>
        <w:t xml:space="preserve"> oraz</w:t>
      </w:r>
      <w:r w:rsidRPr="0022359C">
        <w:rPr>
          <w:sz w:val="20"/>
          <w:szCs w:val="20"/>
        </w:rPr>
        <w:t xml:space="preserve"> finansowania terroryzmu </w:t>
      </w:r>
    </w:p>
    <w:p w:rsidR="0022359C" w:rsidRPr="0022359C" w:rsidRDefault="0022359C" w:rsidP="00DA346E">
      <w:pPr>
        <w:tabs>
          <w:tab w:val="left" w:pos="9356"/>
          <w:tab w:val="left" w:pos="9639"/>
        </w:tabs>
        <w:jc w:val="right"/>
        <w:rPr>
          <w:rFonts w:ascii="Arial" w:hAnsi="Arial" w:cs="Arial"/>
          <w:sz w:val="20"/>
          <w:szCs w:val="20"/>
        </w:rPr>
      </w:pPr>
      <w:r w:rsidRPr="0022359C">
        <w:rPr>
          <w:sz w:val="20"/>
          <w:szCs w:val="20"/>
        </w:rPr>
        <w:t>w Urzędzie Gminy Kwidzyn</w:t>
      </w:r>
    </w:p>
    <w:p w:rsidR="0022359C" w:rsidRPr="0022359C" w:rsidRDefault="0022359C" w:rsidP="0022359C">
      <w:pPr>
        <w:jc w:val="right"/>
        <w:rPr>
          <w:rFonts w:ascii="Arial" w:hAnsi="Arial" w:cs="Arial"/>
          <w:sz w:val="20"/>
          <w:szCs w:val="20"/>
        </w:rPr>
      </w:pPr>
    </w:p>
    <w:p w:rsidR="0022359C" w:rsidRDefault="0022359C" w:rsidP="00144D89">
      <w:pPr>
        <w:rPr>
          <w:rFonts w:ascii="Arial" w:hAnsi="Arial" w:cs="Arial"/>
          <w:sz w:val="20"/>
          <w:szCs w:val="20"/>
        </w:rPr>
      </w:pPr>
    </w:p>
    <w:p w:rsidR="0022359C" w:rsidRPr="0022359C" w:rsidRDefault="0022359C" w:rsidP="0022359C">
      <w:pPr>
        <w:jc w:val="center"/>
        <w:rPr>
          <w:rFonts w:ascii="Arial" w:hAnsi="Arial" w:cs="Arial"/>
          <w:b/>
        </w:rPr>
      </w:pPr>
      <w:r w:rsidRPr="0022359C">
        <w:rPr>
          <w:rFonts w:ascii="Arial" w:hAnsi="Arial" w:cs="Arial"/>
          <w:b/>
        </w:rPr>
        <w:t>Oświadczenie</w:t>
      </w:r>
    </w:p>
    <w:p w:rsidR="004C7F32" w:rsidRPr="004C7F32" w:rsidRDefault="004C7F32" w:rsidP="004C7F32">
      <w:pPr>
        <w:jc w:val="both"/>
      </w:pPr>
    </w:p>
    <w:p w:rsidR="004C7F32" w:rsidRPr="00DA346E" w:rsidRDefault="0022359C" w:rsidP="00DA346E">
      <w:pPr>
        <w:ind w:firstLine="708"/>
        <w:jc w:val="both"/>
      </w:pPr>
      <w:r w:rsidRPr="004C7F32">
        <w:t>Niniejszym oświadczam, że przyjąłem/łam do wiadomości</w:t>
      </w:r>
      <w:r w:rsidR="004C7F32" w:rsidRPr="004C7F32">
        <w:t>, ścisłego przestrzegania</w:t>
      </w:r>
      <w:r w:rsidR="00973B64">
        <w:br/>
      </w:r>
      <w:r w:rsidR="004C7F32" w:rsidRPr="004C7F32">
        <w:t xml:space="preserve">i stosowania zasady określone w instrukcji oraz zobowiązuję się postępować zgodnie </w:t>
      </w:r>
      <w:r w:rsidR="00973B64">
        <w:br/>
      </w:r>
      <w:r w:rsidR="004C7F32" w:rsidRPr="004C7F32">
        <w:t>z zawa</w:t>
      </w:r>
      <w:r w:rsidR="004C7F32">
        <w:t>r</w:t>
      </w:r>
      <w:r w:rsidR="004C7F32" w:rsidRPr="004C7F32">
        <w:t>tymi w niej postanowieniami.</w:t>
      </w:r>
    </w:p>
    <w:p w:rsidR="0022359C" w:rsidRDefault="0022359C" w:rsidP="00144D8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29"/>
        <w:gridCol w:w="2445"/>
      </w:tblGrid>
      <w:tr w:rsidR="00EA751C" w:rsidTr="00EA751C">
        <w:tc>
          <w:tcPr>
            <w:tcW w:w="534" w:type="dxa"/>
          </w:tcPr>
          <w:p w:rsidR="00EA751C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A751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A751C" w:rsidRDefault="00723545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A751C">
              <w:rPr>
                <w:rFonts w:ascii="Arial" w:hAnsi="Arial" w:cs="Arial"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imię</w:t>
            </w: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 w:rsidRPr="00EA751C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1C" w:rsidTr="00EA751C">
        <w:tc>
          <w:tcPr>
            <w:tcW w:w="534" w:type="dxa"/>
          </w:tcPr>
          <w:p w:rsidR="00EA751C" w:rsidRDefault="00DA346E" w:rsidP="00DA3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A751C" w:rsidRPr="00EA751C" w:rsidRDefault="00EA751C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EA751C" w:rsidRDefault="00EA751C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6E" w:rsidTr="00EA751C">
        <w:tc>
          <w:tcPr>
            <w:tcW w:w="534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A346E" w:rsidRPr="00EA751C" w:rsidRDefault="00DA346E" w:rsidP="00144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DA346E" w:rsidRDefault="00DA346E" w:rsidP="00144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59C" w:rsidRDefault="0022359C" w:rsidP="00144D89">
      <w:pPr>
        <w:rPr>
          <w:rFonts w:ascii="Arial" w:hAnsi="Arial" w:cs="Arial"/>
          <w:sz w:val="20"/>
          <w:szCs w:val="20"/>
        </w:rPr>
      </w:pPr>
    </w:p>
    <w:p w:rsidR="00EA751C" w:rsidRDefault="00EA751C" w:rsidP="0022359C">
      <w:pPr>
        <w:rPr>
          <w:rFonts w:ascii="Arial" w:hAnsi="Arial" w:cs="Arial"/>
          <w:sz w:val="20"/>
          <w:szCs w:val="20"/>
        </w:rPr>
      </w:pP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DA346E">
        <w:rPr>
          <w:sz w:val="20"/>
          <w:szCs w:val="20"/>
        </w:rPr>
        <w:t xml:space="preserve"> </w:t>
      </w: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 xml:space="preserve">do Instrukcji postępowania w zakresie </w:t>
      </w: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>przeciwdziałania praniu pieniędzy</w:t>
      </w: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 xml:space="preserve"> oraz finansowania terroryzmu </w:t>
      </w:r>
    </w:p>
    <w:p w:rsidR="00EA751C" w:rsidRPr="0022359C" w:rsidRDefault="00DA346E" w:rsidP="00DA346E">
      <w:pPr>
        <w:jc w:val="right"/>
        <w:rPr>
          <w:rFonts w:ascii="Arial" w:hAnsi="Arial" w:cs="Arial"/>
          <w:sz w:val="20"/>
          <w:szCs w:val="20"/>
        </w:rPr>
      </w:pPr>
      <w:r w:rsidRPr="00DA346E">
        <w:rPr>
          <w:sz w:val="20"/>
          <w:szCs w:val="20"/>
        </w:rPr>
        <w:t>w Urzędzie Gminy Kwidzyn</w:t>
      </w:r>
    </w:p>
    <w:p w:rsidR="00EA751C" w:rsidRDefault="00EA751C" w:rsidP="00EA751C">
      <w:pPr>
        <w:jc w:val="center"/>
        <w:rPr>
          <w:rFonts w:ascii="Arial" w:hAnsi="Arial" w:cs="Arial"/>
        </w:rPr>
      </w:pPr>
    </w:p>
    <w:p w:rsidR="00EA751C" w:rsidRDefault="00EA751C" w:rsidP="00EA75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POWIADOMIENI</w:t>
      </w:r>
      <w:r w:rsidR="006F155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GENERALNEGO  INSPEKTORA INFORMACJI FINANSOWEJ</w:t>
      </w:r>
    </w:p>
    <w:p w:rsidR="00EA751C" w:rsidRDefault="00EA751C" w:rsidP="00EA751C">
      <w:pPr>
        <w:jc w:val="center"/>
        <w:rPr>
          <w:rFonts w:ascii="Arial" w:hAnsi="Arial" w:cs="Arial"/>
        </w:rPr>
      </w:pPr>
    </w:p>
    <w:p w:rsidR="00EA751C" w:rsidRDefault="00EA751C" w:rsidP="00EA751C">
      <w:pPr>
        <w:jc w:val="center"/>
        <w:rPr>
          <w:rFonts w:ascii="Arial" w:hAnsi="Arial" w:cs="Arial"/>
        </w:rPr>
      </w:pPr>
    </w:p>
    <w:p w:rsidR="00EA751C" w:rsidRPr="00CA638D" w:rsidRDefault="00EA751C" w:rsidP="00EA751C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</w:t>
      </w:r>
      <w:r w:rsidR="00CA638D" w:rsidRPr="00CA638D">
        <w:t>K</w:t>
      </w:r>
      <w:r w:rsidR="004B5ED1" w:rsidRPr="00CA638D">
        <w:t>widzyn</w:t>
      </w:r>
      <w:r w:rsidRPr="00CA638D">
        <w:t>, dnia …………………</w:t>
      </w:r>
    </w:p>
    <w:p w:rsidR="00EA751C" w:rsidRPr="00CA638D" w:rsidRDefault="00EA751C" w:rsidP="00EA751C">
      <w:pPr>
        <w:jc w:val="center"/>
      </w:pPr>
    </w:p>
    <w:p w:rsidR="00EA751C" w:rsidRDefault="00EA751C" w:rsidP="00EA75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</w:t>
      </w:r>
    </w:p>
    <w:p w:rsidR="00EA751C" w:rsidRDefault="00EA751C" w:rsidP="00EA75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(Sygnatura)                                                     </w:t>
      </w:r>
      <w:r>
        <w:rPr>
          <w:rFonts w:ascii="Arial" w:hAnsi="Arial" w:cs="Arial"/>
          <w:b/>
        </w:rPr>
        <w:t>Generalny Inspektor Informacji Finansowej</w:t>
      </w:r>
    </w:p>
    <w:p w:rsidR="00EA751C" w:rsidRDefault="00EA751C" w:rsidP="00EA75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Ministerstwo Finansów</w:t>
      </w:r>
    </w:p>
    <w:p w:rsidR="00EA751C" w:rsidRDefault="00EA751C" w:rsidP="00EA75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ul. Świętokrzyska 12</w:t>
      </w:r>
    </w:p>
    <w:p w:rsidR="00EA751C" w:rsidRDefault="00EA751C" w:rsidP="00EA75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00-916 Warszawa</w:t>
      </w:r>
    </w:p>
    <w:p w:rsidR="00EA751C" w:rsidRDefault="00EA751C" w:rsidP="00EA751C">
      <w:pPr>
        <w:jc w:val="both"/>
        <w:rPr>
          <w:rFonts w:ascii="Arial" w:hAnsi="Arial" w:cs="Arial"/>
        </w:rPr>
      </w:pPr>
    </w:p>
    <w:p w:rsidR="00EA751C" w:rsidRPr="00CA638D" w:rsidRDefault="00EA751C" w:rsidP="00EA751C">
      <w:pPr>
        <w:jc w:val="both"/>
      </w:pPr>
    </w:p>
    <w:p w:rsidR="004B5ED1" w:rsidRPr="00B75BD7" w:rsidRDefault="004B5ED1" w:rsidP="00EA751C">
      <w:pPr>
        <w:jc w:val="both"/>
        <w:rPr>
          <w:b/>
        </w:rPr>
      </w:pPr>
      <w:r w:rsidRPr="00B75BD7">
        <w:rPr>
          <w:b/>
        </w:rPr>
        <w:t xml:space="preserve">Powiadomienie o podejrzeniach </w:t>
      </w:r>
      <w:r w:rsidR="00B75BD7" w:rsidRPr="00B75BD7">
        <w:rPr>
          <w:b/>
        </w:rPr>
        <w:t>popełnienia prania pieniędzy/finansowania ter</w:t>
      </w:r>
      <w:r w:rsidR="00B75BD7">
        <w:rPr>
          <w:b/>
        </w:rPr>
        <w:t>r</w:t>
      </w:r>
      <w:r w:rsidR="00B75BD7" w:rsidRPr="00B75BD7">
        <w:rPr>
          <w:b/>
        </w:rPr>
        <w:t>oryzmu</w:t>
      </w:r>
      <w:r w:rsidR="0079355E" w:rsidRPr="00B75BD7">
        <w:rPr>
          <w:b/>
        </w:rPr>
        <w:t>*</w:t>
      </w:r>
    </w:p>
    <w:p w:rsidR="004B5ED1" w:rsidRPr="00B75BD7" w:rsidRDefault="004B5ED1" w:rsidP="00EA751C">
      <w:pPr>
        <w:jc w:val="both"/>
        <w:rPr>
          <w:b/>
        </w:rPr>
      </w:pPr>
    </w:p>
    <w:p w:rsidR="004B5ED1" w:rsidRPr="00CA638D" w:rsidRDefault="004B5ED1" w:rsidP="00EA751C">
      <w:pPr>
        <w:jc w:val="both"/>
      </w:pPr>
    </w:p>
    <w:p w:rsidR="00EA751C" w:rsidRPr="00CA638D" w:rsidRDefault="00EA751C" w:rsidP="00B75BD7">
      <w:pPr>
        <w:jc w:val="both"/>
      </w:pPr>
    </w:p>
    <w:p w:rsidR="00EA751C" w:rsidRPr="00CA638D" w:rsidRDefault="00364FD0" w:rsidP="00B75BD7">
      <w:pPr>
        <w:ind w:firstLine="708"/>
        <w:jc w:val="both"/>
      </w:pPr>
      <w:r>
        <w:t>W związku z</w:t>
      </w:r>
      <w:r w:rsidR="00EA751C" w:rsidRPr="00CA638D">
        <w:t xml:space="preserve"> art. 15a ust. 1</w:t>
      </w:r>
      <w:r w:rsidR="004B5ED1" w:rsidRPr="00CA638D">
        <w:t>i ust 2</w:t>
      </w:r>
      <w:r w:rsidR="00EA751C" w:rsidRPr="00CA638D">
        <w:t xml:space="preserve"> ustawy z dnia 16 listopada 2000r. o przeciwdziałaniu praniu pieniędzy oraz finansowaniu terroryzmu (</w:t>
      </w:r>
      <w:r w:rsidR="0079355E">
        <w:t>Dz.</w:t>
      </w:r>
      <w:r w:rsidR="00EA751C" w:rsidRPr="00CA638D">
        <w:t>U. z 20</w:t>
      </w:r>
      <w:r w:rsidR="004B5ED1" w:rsidRPr="00CA638D">
        <w:t>1</w:t>
      </w:r>
      <w:r w:rsidR="00FE17A7">
        <w:t>7</w:t>
      </w:r>
      <w:r>
        <w:t xml:space="preserve"> </w:t>
      </w:r>
      <w:r w:rsidR="00EA751C" w:rsidRPr="00CA638D">
        <w:t>r.</w:t>
      </w:r>
      <w:r w:rsidR="009452B7">
        <w:t>,</w:t>
      </w:r>
      <w:r w:rsidR="0079355E">
        <w:t xml:space="preserve"> </w:t>
      </w:r>
      <w:r w:rsidR="00EA751C" w:rsidRPr="00CA638D">
        <w:t xml:space="preserve">poz. </w:t>
      </w:r>
      <w:r w:rsidR="00FE17A7">
        <w:t>1049</w:t>
      </w:r>
      <w:r w:rsidR="00EA751C" w:rsidRPr="00CA638D">
        <w:t xml:space="preserve">) powiadamiam, </w:t>
      </w:r>
      <w:r>
        <w:br/>
      </w:r>
      <w:r w:rsidR="00EA751C" w:rsidRPr="00CA638D">
        <w:t xml:space="preserve">iż w trakcie </w:t>
      </w:r>
      <w:r w:rsidR="00B75BD7">
        <w:t>kontroli/ w wyniku analizy</w:t>
      </w:r>
      <w:r w:rsidR="00B75BD7" w:rsidRPr="00B75BD7">
        <w:t>*</w:t>
      </w:r>
      <w:r w:rsidR="00B75BD7">
        <w:t xml:space="preserve"> </w:t>
      </w:r>
      <w:r w:rsidR="00B75BD7" w:rsidRPr="00B75BD7">
        <w:rPr>
          <w:i/>
        </w:rPr>
        <w:t>(należy wymienić bądź zakres, termin przeprowadzonej kontroli, bądź rodzaj dokumentów poddanych analizie, będący</w:t>
      </w:r>
      <w:r>
        <w:rPr>
          <w:i/>
        </w:rPr>
        <w:t>ch podstawą</w:t>
      </w:r>
      <w:r w:rsidR="00B75BD7" w:rsidRPr="00B75BD7">
        <w:rPr>
          <w:i/>
        </w:rPr>
        <w:t xml:space="preserve"> powiadamiania GIIF)</w:t>
      </w:r>
      <w:r w:rsidR="00EA751C" w:rsidRPr="00CA638D">
        <w:t>……………………………………</w:t>
      </w:r>
      <w:r w:rsidR="00B75BD7">
        <w:t>……………………………</w:t>
      </w:r>
      <w:r w:rsidR="00EA751C" w:rsidRPr="00CA638D">
        <w:t>…</w:t>
      </w:r>
      <w:r w:rsidR="00B75BD7">
        <w:t>…….</w:t>
      </w:r>
      <w:r w:rsidR="00CA638D">
        <w:t>………………</w:t>
      </w:r>
      <w:r w:rsidR="00B75BD7">
        <w:t>…</w:t>
      </w:r>
      <w:r w:rsidR="00EA751C" w:rsidRPr="00CA638D">
        <w:t>…………………………………………………………………………………………………...…………………………………………………………………………………………………</w:t>
      </w:r>
      <w:r w:rsidR="00CA638D">
        <w:t>…………..</w:t>
      </w:r>
    </w:p>
    <w:p w:rsidR="00EA751C" w:rsidRPr="00CA638D" w:rsidRDefault="00EA751C" w:rsidP="00EA751C">
      <w:pPr>
        <w:jc w:val="both"/>
      </w:pPr>
      <w:r w:rsidRPr="00CA638D">
        <w:t>za</w:t>
      </w:r>
      <w:r w:rsidR="00364FD0">
        <w:t>istniało</w:t>
      </w:r>
      <w:r w:rsidRPr="00CA638D">
        <w:t xml:space="preserve"> </w:t>
      </w:r>
      <w:r w:rsidR="00B75BD7">
        <w:t xml:space="preserve">uzasadnione </w:t>
      </w:r>
      <w:r w:rsidRPr="00CA638D">
        <w:t xml:space="preserve">podejrzenie </w:t>
      </w:r>
      <w:r w:rsidR="00B75BD7">
        <w:t xml:space="preserve">popełnienia </w:t>
      </w:r>
      <w:r w:rsidRPr="00CA638D">
        <w:t>prania pieniędzy</w:t>
      </w:r>
      <w:r w:rsidR="00B75BD7">
        <w:t>/finansowania terroryzmu</w:t>
      </w:r>
      <w:r w:rsidR="00B75BD7" w:rsidRPr="00B75BD7">
        <w:rPr>
          <w:b/>
        </w:rPr>
        <w:t>*</w:t>
      </w:r>
      <w:r w:rsidR="00364FD0">
        <w:rPr>
          <w:b/>
        </w:rPr>
        <w:t>.</w:t>
      </w:r>
    </w:p>
    <w:p w:rsidR="00EA751C" w:rsidRPr="00CA638D" w:rsidRDefault="00EA751C" w:rsidP="00EA751C">
      <w:pPr>
        <w:jc w:val="both"/>
      </w:pPr>
    </w:p>
    <w:p w:rsidR="00EA751C" w:rsidRPr="00CA638D" w:rsidRDefault="00EA751C" w:rsidP="00EA751C">
      <w:pPr>
        <w:jc w:val="both"/>
      </w:pPr>
      <w:r w:rsidRPr="00CA638D">
        <w:t xml:space="preserve"> </w:t>
      </w:r>
      <w:r w:rsidR="00973B64">
        <w:t>Opis ustaleń</w:t>
      </w:r>
      <w:r w:rsidR="00364FD0">
        <w:t>:</w:t>
      </w:r>
      <w:r w:rsidR="00973B64">
        <w:t xml:space="preserve"> </w:t>
      </w:r>
      <w:r w:rsidR="00364FD0">
        <w:t>……………</w:t>
      </w:r>
      <w:r w:rsidRPr="00CA638D">
        <w:t>…………………………………</w:t>
      </w:r>
      <w:r w:rsidR="00CA638D">
        <w:t>…………</w:t>
      </w:r>
      <w:r w:rsidR="00364FD0">
        <w:t>………………………</w:t>
      </w:r>
      <w:r w:rsidR="00CA638D">
        <w:t>………</w:t>
      </w:r>
    </w:p>
    <w:p w:rsidR="00EA751C" w:rsidRPr="00CA638D" w:rsidRDefault="00EA751C" w:rsidP="00EA751C">
      <w:pPr>
        <w:jc w:val="both"/>
      </w:pPr>
      <w:r w:rsidRPr="00CA638D">
        <w:t>…………………………………………………………………………………………………</w:t>
      </w:r>
      <w:r w:rsidR="00CA638D">
        <w:t>………</w:t>
      </w:r>
      <w:r w:rsidRPr="00CA638D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A638D">
        <w:t>………………</w:t>
      </w:r>
      <w:r w:rsidR="00364FD0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51C" w:rsidRDefault="00364FD0" w:rsidP="00EA751C">
      <w:pPr>
        <w:jc w:val="both"/>
        <w:rPr>
          <w:i/>
          <w:sz w:val="20"/>
          <w:szCs w:val="20"/>
        </w:rPr>
      </w:pPr>
      <w:r w:rsidRPr="00364FD0">
        <w:rPr>
          <w:i/>
          <w:sz w:val="20"/>
          <w:szCs w:val="20"/>
        </w:rPr>
        <w:t xml:space="preserve">(opis ustaleń powinien zawierać dane, wymienione w art. 12 ust. 1 punkty 1 – 4 ustawy oraz art. 15a ust. 4, a ponadto </w:t>
      </w:r>
      <w:r>
        <w:rPr>
          <w:i/>
          <w:sz w:val="20"/>
          <w:szCs w:val="20"/>
        </w:rPr>
        <w:br/>
      </w:r>
      <w:r w:rsidRPr="00364FD0">
        <w:rPr>
          <w:i/>
          <w:sz w:val="20"/>
          <w:szCs w:val="20"/>
        </w:rPr>
        <w:t>w miarę możliwości należy podać informacje, o których mowa w art. 9 ust. 2 ustawy)</w:t>
      </w:r>
    </w:p>
    <w:p w:rsidR="00364FD0" w:rsidRPr="00364FD0" w:rsidRDefault="00364FD0" w:rsidP="00EA751C">
      <w:pPr>
        <w:jc w:val="both"/>
        <w:rPr>
          <w:i/>
          <w:sz w:val="20"/>
          <w:szCs w:val="20"/>
        </w:rPr>
      </w:pPr>
    </w:p>
    <w:p w:rsidR="00EA751C" w:rsidRPr="00CA638D" w:rsidRDefault="00EA751C" w:rsidP="00EA751C">
      <w:pPr>
        <w:ind w:left="5940"/>
        <w:jc w:val="both"/>
      </w:pPr>
    </w:p>
    <w:p w:rsidR="00EA751C" w:rsidRDefault="00EA751C" w:rsidP="00CA638D">
      <w:pPr>
        <w:jc w:val="both"/>
        <w:rPr>
          <w:rFonts w:ascii="Arial" w:hAnsi="Arial" w:cs="Arial"/>
        </w:rPr>
      </w:pPr>
    </w:p>
    <w:p w:rsidR="00EA751C" w:rsidRDefault="00EA751C" w:rsidP="00EA751C">
      <w:pPr>
        <w:ind w:left="5940"/>
        <w:jc w:val="both"/>
        <w:rPr>
          <w:rFonts w:ascii="Arial" w:hAnsi="Arial" w:cs="Arial"/>
        </w:rPr>
      </w:pPr>
    </w:p>
    <w:p w:rsidR="00EA751C" w:rsidRDefault="00EA751C" w:rsidP="00EA751C">
      <w:pPr>
        <w:ind w:left="59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</w:t>
      </w:r>
      <w:r w:rsidR="00364FD0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(podpis </w:t>
      </w:r>
      <w:r w:rsidR="00364FD0">
        <w:rPr>
          <w:rFonts w:ascii="Arial" w:hAnsi="Arial" w:cs="Arial"/>
          <w:sz w:val="18"/>
          <w:szCs w:val="18"/>
        </w:rPr>
        <w:t xml:space="preserve">i pieczątka </w:t>
      </w:r>
      <w:r>
        <w:rPr>
          <w:rFonts w:ascii="Arial" w:hAnsi="Arial" w:cs="Arial"/>
          <w:sz w:val="18"/>
          <w:szCs w:val="18"/>
        </w:rPr>
        <w:t>osoby upoważnionej)</w:t>
      </w:r>
    </w:p>
    <w:p w:rsidR="00EA751C" w:rsidRPr="00364FD0" w:rsidRDefault="00364FD0" w:rsidP="0022359C">
      <w:pPr>
        <w:rPr>
          <w:b/>
        </w:rPr>
      </w:pPr>
      <w:r w:rsidRPr="00364FD0">
        <w:rPr>
          <w:b/>
        </w:rPr>
        <w:t>Załącznik</w:t>
      </w:r>
      <w:r w:rsidR="00FE17A7">
        <w:rPr>
          <w:b/>
        </w:rPr>
        <w:t>i</w:t>
      </w:r>
      <w:r w:rsidRPr="00364FD0">
        <w:rPr>
          <w:b/>
        </w:rPr>
        <w:t>:</w:t>
      </w:r>
    </w:p>
    <w:p w:rsidR="00364FD0" w:rsidRPr="00364FD0" w:rsidRDefault="00364FD0" w:rsidP="0022359C"/>
    <w:p w:rsidR="00EA751C" w:rsidRDefault="00364FD0" w:rsidP="00364FD0">
      <w:pPr>
        <w:jc w:val="both"/>
        <w:rPr>
          <w:i/>
        </w:rPr>
      </w:pPr>
      <w:r w:rsidRPr="00364FD0">
        <w:rPr>
          <w:i/>
        </w:rPr>
        <w:t>(Zgodnie z art. 15a ust. 1 pkt 2 ustawy załączam potwierdzone kopie dokumentów dotyczące wskazanych wyżej ustaleń, co do których zachodzi podejrzenie, że mają one związek</w:t>
      </w:r>
      <w:r>
        <w:rPr>
          <w:i/>
        </w:rPr>
        <w:t xml:space="preserve"> </w:t>
      </w:r>
      <w:r w:rsidRPr="00364FD0">
        <w:rPr>
          <w:i/>
        </w:rPr>
        <w:t>z popełnieniem przestępstwa, o którym mowa w art. 165a lub art. 299 Kodeksu karnego oraz informacje o osobach przeprowadzających te transakcje)</w:t>
      </w:r>
    </w:p>
    <w:p w:rsidR="00364FD0" w:rsidRDefault="00364FD0" w:rsidP="00364FD0">
      <w:pPr>
        <w:jc w:val="both"/>
        <w:rPr>
          <w:i/>
        </w:rPr>
      </w:pPr>
    </w:p>
    <w:p w:rsidR="00364FD0" w:rsidRDefault="00364FD0" w:rsidP="00364FD0">
      <w:pPr>
        <w:jc w:val="both"/>
        <w:rPr>
          <w:i/>
        </w:rPr>
      </w:pPr>
    </w:p>
    <w:p w:rsidR="00364FD0" w:rsidRPr="00364FD0" w:rsidRDefault="00364FD0" w:rsidP="00364FD0">
      <w:pPr>
        <w:jc w:val="both"/>
        <w:rPr>
          <w:i/>
        </w:rPr>
      </w:pPr>
    </w:p>
    <w:p w:rsidR="00EA751C" w:rsidRPr="00364FD0" w:rsidRDefault="004B5ED1" w:rsidP="0022359C">
      <w:r w:rsidRPr="00364FD0">
        <w:t>*niepotrzebne skreślić</w:t>
      </w:r>
    </w:p>
    <w:p w:rsidR="00EA751C" w:rsidRDefault="00EA751C" w:rsidP="0022359C">
      <w:pPr>
        <w:rPr>
          <w:rFonts w:ascii="Arial" w:hAnsi="Arial" w:cs="Arial"/>
          <w:sz w:val="20"/>
          <w:szCs w:val="20"/>
        </w:rPr>
      </w:pPr>
    </w:p>
    <w:p w:rsidR="00226C1B" w:rsidRDefault="00226C1B" w:rsidP="0022359C">
      <w:pPr>
        <w:rPr>
          <w:rFonts w:ascii="Arial" w:hAnsi="Arial" w:cs="Arial"/>
          <w:sz w:val="20"/>
          <w:szCs w:val="20"/>
        </w:rPr>
      </w:pP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>Załącznik Nr 3</w:t>
      </w: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 xml:space="preserve">do Instrukcji postępowania w zakresie </w:t>
      </w: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>przeciwdziałania praniu pieniędzy</w:t>
      </w:r>
    </w:p>
    <w:p w:rsidR="00DA346E" w:rsidRPr="00DA346E" w:rsidRDefault="00DA346E" w:rsidP="00DA346E">
      <w:pPr>
        <w:jc w:val="right"/>
        <w:rPr>
          <w:sz w:val="20"/>
          <w:szCs w:val="20"/>
        </w:rPr>
      </w:pPr>
      <w:r w:rsidRPr="00DA346E">
        <w:rPr>
          <w:sz w:val="20"/>
          <w:szCs w:val="20"/>
        </w:rPr>
        <w:t xml:space="preserve"> oraz finansowania terroryzmu </w:t>
      </w:r>
    </w:p>
    <w:p w:rsidR="00144D89" w:rsidRPr="00DA346E" w:rsidRDefault="00DA346E" w:rsidP="00DA346E">
      <w:pPr>
        <w:jc w:val="right"/>
      </w:pPr>
      <w:r w:rsidRPr="00DA346E">
        <w:rPr>
          <w:sz w:val="20"/>
          <w:szCs w:val="20"/>
        </w:rPr>
        <w:t>w Urzędzie Gminy Kwidzyn</w:t>
      </w:r>
    </w:p>
    <w:p w:rsidR="00144D89" w:rsidRPr="00DA346E" w:rsidRDefault="00144D89" w:rsidP="00144D89">
      <w:pPr>
        <w:jc w:val="both"/>
      </w:pPr>
    </w:p>
    <w:p w:rsidR="00144D89" w:rsidRDefault="00144D89" w:rsidP="00144D89">
      <w:pPr>
        <w:jc w:val="both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 POWIADOMIEŃ</w:t>
      </w:r>
      <w:r w:rsidR="00973B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GENERALNEGO </w:t>
      </w:r>
      <w:r w:rsidR="00CB40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INSPEKTORA</w:t>
      </w:r>
      <w:r w:rsidR="00CB40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INFORMACJI FINANSOWEJ</w:t>
      </w: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516"/>
        <w:gridCol w:w="1134"/>
        <w:gridCol w:w="1560"/>
        <w:gridCol w:w="1275"/>
        <w:gridCol w:w="1418"/>
        <w:gridCol w:w="1134"/>
        <w:gridCol w:w="1134"/>
        <w:gridCol w:w="992"/>
      </w:tblGrid>
      <w:tr w:rsidR="00CB40D3" w:rsidTr="00BB5F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dokumentu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sporządzającego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treści dokumentów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CB40D3" w:rsidP="00CB40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przekazania </w:t>
            </w:r>
          </w:p>
          <w:p w:rsidR="006F1550" w:rsidRDefault="00CB40D3" w:rsidP="00CB40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koordynatorowi </w:t>
            </w:r>
          </w:p>
          <w:p w:rsidR="00CB40D3" w:rsidRDefault="00CB40D3" w:rsidP="00CB40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podpis koordynatora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6F1550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przekazania</w:t>
            </w:r>
          </w:p>
          <w:p w:rsidR="006F1550" w:rsidRDefault="006F1550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0D3" w:rsidRDefault="006F1550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550" w:rsidRP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 w:rsidRPr="006F155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B40D3" w:rsidTr="00BB5F5B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6F155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F1550" w:rsidRDefault="006F1550" w:rsidP="006F15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3" w:rsidRDefault="00CB40D3" w:rsidP="00154D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144D89" w:rsidRDefault="00144D89" w:rsidP="00144D89">
      <w:pPr>
        <w:jc w:val="center"/>
        <w:rPr>
          <w:rFonts w:ascii="Arial" w:hAnsi="Arial" w:cs="Arial"/>
        </w:rPr>
      </w:pPr>
    </w:p>
    <w:p w:rsidR="0022359C" w:rsidRDefault="0022359C" w:rsidP="0022359C">
      <w:pPr>
        <w:rPr>
          <w:rFonts w:ascii="Arial" w:hAnsi="Arial" w:cs="Arial"/>
          <w:sz w:val="20"/>
          <w:szCs w:val="20"/>
        </w:rPr>
      </w:pPr>
    </w:p>
    <w:sectPr w:rsidR="0022359C" w:rsidSect="002309D6">
      <w:pgSz w:w="11905" w:h="16837"/>
      <w:pgMar w:top="426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91A67D8"/>
    <w:multiLevelType w:val="hybridMultilevel"/>
    <w:tmpl w:val="74E6F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B33"/>
    <w:multiLevelType w:val="hybridMultilevel"/>
    <w:tmpl w:val="D7FA1C0E"/>
    <w:lvl w:ilvl="0" w:tplc="1FC079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8D3AE2"/>
    <w:multiLevelType w:val="hybridMultilevel"/>
    <w:tmpl w:val="A99C4636"/>
    <w:lvl w:ilvl="0" w:tplc="B4BE79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3DC3188"/>
    <w:multiLevelType w:val="hybridMultilevel"/>
    <w:tmpl w:val="82DCA004"/>
    <w:lvl w:ilvl="0" w:tplc="44A25D6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12A2BE8"/>
    <w:multiLevelType w:val="hybridMultilevel"/>
    <w:tmpl w:val="D430D168"/>
    <w:lvl w:ilvl="0" w:tplc="597EA00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B4E25FE"/>
    <w:multiLevelType w:val="hybridMultilevel"/>
    <w:tmpl w:val="5CD82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B3DFC"/>
    <w:multiLevelType w:val="hybridMultilevel"/>
    <w:tmpl w:val="D51ABF84"/>
    <w:lvl w:ilvl="0" w:tplc="CE481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9"/>
    <w:rsid w:val="00054645"/>
    <w:rsid w:val="000608B2"/>
    <w:rsid w:val="000C0AC6"/>
    <w:rsid w:val="00144D89"/>
    <w:rsid w:val="001851B3"/>
    <w:rsid w:val="001A57A9"/>
    <w:rsid w:val="001C348E"/>
    <w:rsid w:val="001D4922"/>
    <w:rsid w:val="001F75BA"/>
    <w:rsid w:val="0022359C"/>
    <w:rsid w:val="00226C1B"/>
    <w:rsid w:val="002309B8"/>
    <w:rsid w:val="002309D6"/>
    <w:rsid w:val="00302A0C"/>
    <w:rsid w:val="00320B06"/>
    <w:rsid w:val="00354386"/>
    <w:rsid w:val="00364FD0"/>
    <w:rsid w:val="003C7586"/>
    <w:rsid w:val="003F1A4D"/>
    <w:rsid w:val="00433825"/>
    <w:rsid w:val="004503B8"/>
    <w:rsid w:val="00467135"/>
    <w:rsid w:val="004864F6"/>
    <w:rsid w:val="004B5ED1"/>
    <w:rsid w:val="004C7F32"/>
    <w:rsid w:val="005156A9"/>
    <w:rsid w:val="00541036"/>
    <w:rsid w:val="005E71DE"/>
    <w:rsid w:val="00611ED6"/>
    <w:rsid w:val="00645298"/>
    <w:rsid w:val="00646367"/>
    <w:rsid w:val="0065330D"/>
    <w:rsid w:val="006A475A"/>
    <w:rsid w:val="006F1550"/>
    <w:rsid w:val="007229A2"/>
    <w:rsid w:val="00723545"/>
    <w:rsid w:val="00727A1D"/>
    <w:rsid w:val="0079355E"/>
    <w:rsid w:val="00793C9E"/>
    <w:rsid w:val="007E1344"/>
    <w:rsid w:val="007F0024"/>
    <w:rsid w:val="008012D5"/>
    <w:rsid w:val="008203E7"/>
    <w:rsid w:val="00856497"/>
    <w:rsid w:val="0089245C"/>
    <w:rsid w:val="008B0EBA"/>
    <w:rsid w:val="008E73BD"/>
    <w:rsid w:val="008F3028"/>
    <w:rsid w:val="008F3D2D"/>
    <w:rsid w:val="009005B5"/>
    <w:rsid w:val="00926104"/>
    <w:rsid w:val="00941B31"/>
    <w:rsid w:val="009452B7"/>
    <w:rsid w:val="00954A1F"/>
    <w:rsid w:val="00973B64"/>
    <w:rsid w:val="009F2946"/>
    <w:rsid w:val="00A26856"/>
    <w:rsid w:val="00AD1775"/>
    <w:rsid w:val="00B23DEB"/>
    <w:rsid w:val="00B40EEA"/>
    <w:rsid w:val="00B75BD7"/>
    <w:rsid w:val="00BB5F5B"/>
    <w:rsid w:val="00BD610A"/>
    <w:rsid w:val="00BE07C2"/>
    <w:rsid w:val="00C10923"/>
    <w:rsid w:val="00C50BB0"/>
    <w:rsid w:val="00C5362C"/>
    <w:rsid w:val="00CA638D"/>
    <w:rsid w:val="00CB40D3"/>
    <w:rsid w:val="00CC516D"/>
    <w:rsid w:val="00D55E47"/>
    <w:rsid w:val="00D7391F"/>
    <w:rsid w:val="00D80874"/>
    <w:rsid w:val="00D918D3"/>
    <w:rsid w:val="00DA346E"/>
    <w:rsid w:val="00E721B2"/>
    <w:rsid w:val="00E75A74"/>
    <w:rsid w:val="00EA6D91"/>
    <w:rsid w:val="00EA751C"/>
    <w:rsid w:val="00EC220C"/>
    <w:rsid w:val="00EF297A"/>
    <w:rsid w:val="00F04642"/>
    <w:rsid w:val="00FE17A7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D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825"/>
    <w:pPr>
      <w:ind w:left="720"/>
      <w:contextualSpacing/>
    </w:pPr>
  </w:style>
  <w:style w:type="table" w:styleId="Tabela-Siatka">
    <w:name w:val="Table Grid"/>
    <w:basedOn w:val="Standardowy"/>
    <w:uiPriority w:val="59"/>
    <w:rsid w:val="00EA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6C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1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D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825"/>
    <w:pPr>
      <w:ind w:left="720"/>
      <w:contextualSpacing/>
    </w:pPr>
  </w:style>
  <w:style w:type="table" w:styleId="Tabela-Siatka">
    <w:name w:val="Table Grid"/>
    <w:basedOn w:val="Standardowy"/>
    <w:uiPriority w:val="59"/>
    <w:rsid w:val="00EA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6C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1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7</Pages>
  <Words>1760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49</cp:revision>
  <cp:lastPrinted>2016-09-27T09:50:00Z</cp:lastPrinted>
  <dcterms:created xsi:type="dcterms:W3CDTF">2015-05-07T12:49:00Z</dcterms:created>
  <dcterms:modified xsi:type="dcterms:W3CDTF">2018-01-08T11:19:00Z</dcterms:modified>
</cp:coreProperties>
</file>