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12" w:rsidRPr="00F85D1D" w:rsidRDefault="00A06B09" w:rsidP="00202112">
      <w:pPr>
        <w:suppressAutoHyphens/>
        <w:jc w:val="right"/>
        <w:rPr>
          <w:rFonts w:asciiTheme="minorHAnsi" w:hAnsiTheme="minorHAnsi" w:cstheme="minorHAnsi"/>
          <w:b/>
          <w:i w:val="0"/>
          <w:iCs w:val="0"/>
          <w:sz w:val="22"/>
          <w:szCs w:val="22"/>
        </w:rPr>
      </w:pPr>
      <w:r w:rsidRPr="00F85D1D">
        <w:rPr>
          <w:rFonts w:asciiTheme="minorHAnsi" w:hAnsiTheme="minorHAnsi" w:cstheme="minorHAnsi"/>
          <w:b/>
          <w:i w:val="0"/>
          <w:iCs w:val="0"/>
          <w:sz w:val="22"/>
          <w:szCs w:val="22"/>
        </w:rPr>
        <w:t xml:space="preserve">Załącznik </w:t>
      </w:r>
      <w:r w:rsidR="00202112" w:rsidRPr="00F85D1D">
        <w:rPr>
          <w:rFonts w:asciiTheme="minorHAnsi" w:hAnsiTheme="minorHAnsi" w:cstheme="minorHAnsi"/>
          <w:b/>
          <w:i w:val="0"/>
          <w:iCs w:val="0"/>
          <w:sz w:val="22"/>
          <w:szCs w:val="22"/>
        </w:rPr>
        <w:t>Nr 1</w:t>
      </w:r>
    </w:p>
    <w:p w:rsidR="00202112" w:rsidRPr="00F85D1D" w:rsidRDefault="0000163D" w:rsidP="00202112">
      <w:pPr>
        <w:suppressAutoHyphens/>
        <w:jc w:val="right"/>
        <w:rPr>
          <w:rFonts w:asciiTheme="minorHAnsi" w:hAnsiTheme="minorHAnsi" w:cstheme="minorHAnsi"/>
          <w:b/>
          <w:i w:val="0"/>
          <w:iCs w:val="0"/>
          <w:sz w:val="22"/>
          <w:szCs w:val="22"/>
        </w:rPr>
      </w:pPr>
      <w:r w:rsidRPr="00F85D1D">
        <w:rPr>
          <w:rFonts w:asciiTheme="minorHAnsi" w:hAnsiTheme="minorHAnsi" w:cstheme="minorHAnsi"/>
          <w:b/>
          <w:i w:val="0"/>
          <w:iCs w:val="0"/>
          <w:sz w:val="22"/>
          <w:szCs w:val="22"/>
        </w:rPr>
        <w:t xml:space="preserve">do decyzji </w:t>
      </w:r>
      <w:r w:rsidR="00F85D1D" w:rsidRPr="00F85D1D">
        <w:rPr>
          <w:rFonts w:asciiTheme="minorHAnsi" w:hAnsiTheme="minorHAnsi" w:cstheme="minorHAnsi"/>
          <w:b/>
          <w:i w:val="0"/>
          <w:iCs w:val="0"/>
          <w:sz w:val="22"/>
          <w:szCs w:val="22"/>
        </w:rPr>
        <w:t>Nr OŚiGW.6220.5.2022</w:t>
      </w:r>
    </w:p>
    <w:p w:rsidR="00202112" w:rsidRPr="00F85D1D" w:rsidRDefault="00202112" w:rsidP="00202112">
      <w:pPr>
        <w:suppressAutoHyphens/>
        <w:jc w:val="right"/>
        <w:rPr>
          <w:rFonts w:asciiTheme="minorHAnsi" w:eastAsia="Lucida Sans Unicode" w:hAnsiTheme="minorHAnsi" w:cstheme="minorHAnsi"/>
          <w:i w:val="0"/>
          <w:iCs w:val="0"/>
          <w:color w:val="000000"/>
          <w:sz w:val="22"/>
          <w:szCs w:val="22"/>
          <w:lang w:bidi="en-US"/>
        </w:rPr>
      </w:pPr>
      <w:r w:rsidRPr="00F85D1D">
        <w:rPr>
          <w:rFonts w:asciiTheme="minorHAnsi" w:hAnsiTheme="minorHAnsi" w:cstheme="minorHAnsi"/>
          <w:i w:val="0"/>
          <w:iCs w:val="0"/>
          <w:sz w:val="22"/>
          <w:szCs w:val="22"/>
        </w:rPr>
        <w:t>zgodnie z art. 84 ust. 2 ustaw</w:t>
      </w:r>
      <w:r w:rsidR="006728F7" w:rsidRPr="00F85D1D">
        <w:rPr>
          <w:rFonts w:asciiTheme="minorHAnsi" w:hAnsiTheme="minorHAnsi" w:cstheme="minorHAnsi"/>
          <w:i w:val="0"/>
          <w:iCs w:val="0"/>
          <w:sz w:val="22"/>
          <w:szCs w:val="22"/>
        </w:rPr>
        <w:t xml:space="preserve">y z dnia 3 października 2008r. </w:t>
      </w:r>
      <w:r w:rsidR="00B86ADC" w:rsidRPr="00F85D1D">
        <w:rPr>
          <w:rFonts w:asciiTheme="minorHAnsi" w:hAnsiTheme="minorHAnsi" w:cstheme="minorHAnsi"/>
          <w:i w:val="0"/>
          <w:iCs w:val="0"/>
          <w:sz w:val="22"/>
          <w:szCs w:val="22"/>
        </w:rPr>
        <w:t>o udostępnianiu informacji o środowisku i </w:t>
      </w:r>
      <w:r w:rsidRPr="00F85D1D">
        <w:rPr>
          <w:rFonts w:asciiTheme="minorHAnsi" w:hAnsiTheme="minorHAnsi" w:cstheme="minorHAnsi"/>
          <w:i w:val="0"/>
          <w:iCs w:val="0"/>
          <w:sz w:val="22"/>
          <w:szCs w:val="22"/>
        </w:rPr>
        <w:t xml:space="preserve">jego ochronie, udziale społeczeństwa w ochronie środowiska </w:t>
      </w:r>
      <w:r w:rsidR="00B86ADC" w:rsidRPr="00F85D1D">
        <w:rPr>
          <w:rFonts w:asciiTheme="minorHAnsi" w:hAnsiTheme="minorHAnsi" w:cstheme="minorHAnsi"/>
          <w:i w:val="0"/>
          <w:iCs w:val="0"/>
          <w:sz w:val="22"/>
          <w:szCs w:val="22"/>
        </w:rPr>
        <w:t>oraz o ocenach oddziaływania na </w:t>
      </w:r>
      <w:r w:rsidRPr="00F85D1D">
        <w:rPr>
          <w:rFonts w:asciiTheme="minorHAnsi" w:hAnsiTheme="minorHAnsi" w:cstheme="minorHAnsi"/>
          <w:i w:val="0"/>
          <w:iCs w:val="0"/>
          <w:sz w:val="22"/>
          <w:szCs w:val="22"/>
        </w:rPr>
        <w:t>środowisko</w:t>
      </w:r>
      <w:r w:rsidRPr="00F85D1D">
        <w:rPr>
          <w:rFonts w:asciiTheme="minorHAnsi" w:eastAsia="Lucida Sans Unicode" w:hAnsiTheme="minorHAnsi" w:cstheme="minorHAnsi"/>
          <w:bCs/>
          <w:i w:val="0"/>
          <w:iCs w:val="0"/>
          <w:color w:val="000000"/>
          <w:sz w:val="22"/>
          <w:szCs w:val="22"/>
          <w:lang w:eastAsia="ar-SA" w:bidi="en-US"/>
        </w:rPr>
        <w:t xml:space="preserve"> </w:t>
      </w:r>
      <w:r w:rsidR="002133E3" w:rsidRPr="00F85D1D">
        <w:rPr>
          <w:rFonts w:asciiTheme="minorHAnsi" w:eastAsiaTheme="minorEastAsia" w:hAnsiTheme="minorHAnsi" w:cstheme="minorHAnsi"/>
          <w:iCs w:val="0"/>
          <w:sz w:val="22"/>
          <w:szCs w:val="22"/>
        </w:rPr>
        <w:t xml:space="preserve">(tekst jedn. </w:t>
      </w:r>
      <w:r w:rsidR="00F85D1D" w:rsidRPr="00F85D1D">
        <w:rPr>
          <w:rFonts w:asciiTheme="minorHAnsi" w:eastAsiaTheme="minorEastAsia" w:hAnsiTheme="minorHAnsi" w:cstheme="minorHAnsi"/>
          <w:iCs w:val="0"/>
          <w:sz w:val="22"/>
          <w:szCs w:val="22"/>
        </w:rPr>
        <w:t>Dz. U. z 2021 r., poz. 2373 ze zm.</w:t>
      </w:r>
      <w:r w:rsidRPr="00F85D1D">
        <w:rPr>
          <w:rFonts w:asciiTheme="minorHAnsi" w:eastAsiaTheme="minorEastAsia" w:hAnsiTheme="minorHAnsi" w:cstheme="minorHAnsi"/>
          <w:iCs w:val="0"/>
          <w:sz w:val="22"/>
          <w:szCs w:val="22"/>
        </w:rPr>
        <w:t xml:space="preserve"> )</w:t>
      </w:r>
    </w:p>
    <w:p w:rsidR="0000163D" w:rsidRPr="00F85D1D" w:rsidRDefault="0000163D" w:rsidP="0000163D">
      <w:pPr>
        <w:shd w:val="clear" w:color="auto" w:fill="FFFFFF"/>
        <w:tabs>
          <w:tab w:val="left" w:pos="2268"/>
          <w:tab w:val="left" w:pos="5387"/>
          <w:tab w:val="left" w:pos="6804"/>
          <w:tab w:val="left" w:pos="6946"/>
        </w:tabs>
        <w:spacing w:line="276" w:lineRule="auto"/>
        <w:ind w:left="5387"/>
        <w:rPr>
          <w:rFonts w:asciiTheme="minorHAnsi" w:hAnsiTheme="minorHAnsi" w:cstheme="minorHAnsi"/>
          <w:b/>
          <w:i w:val="0"/>
          <w:iCs w:val="0"/>
          <w:sz w:val="22"/>
          <w:szCs w:val="22"/>
        </w:rPr>
      </w:pPr>
    </w:p>
    <w:p w:rsidR="0000163D" w:rsidRPr="00F85D1D" w:rsidRDefault="0000163D" w:rsidP="0000163D">
      <w:pPr>
        <w:shd w:val="clear" w:color="auto" w:fill="FFFFFF"/>
        <w:tabs>
          <w:tab w:val="left" w:pos="2268"/>
          <w:tab w:val="left" w:pos="6804"/>
          <w:tab w:val="left" w:pos="6946"/>
        </w:tabs>
        <w:spacing w:before="394"/>
        <w:rPr>
          <w:rFonts w:asciiTheme="minorHAnsi" w:hAnsiTheme="minorHAnsi" w:cstheme="minorHAnsi"/>
          <w:b/>
          <w:i w:val="0"/>
          <w:iCs w:val="0"/>
          <w:sz w:val="22"/>
          <w:szCs w:val="22"/>
        </w:rPr>
      </w:pPr>
    </w:p>
    <w:p w:rsidR="00E43991" w:rsidRPr="00F85D1D" w:rsidRDefault="0000163D" w:rsidP="00E43991">
      <w:pPr>
        <w:shd w:val="clear" w:color="auto" w:fill="FFFFFF"/>
        <w:tabs>
          <w:tab w:val="left" w:pos="2268"/>
          <w:tab w:val="left" w:pos="6804"/>
          <w:tab w:val="left" w:pos="6946"/>
        </w:tabs>
        <w:jc w:val="center"/>
        <w:rPr>
          <w:rFonts w:asciiTheme="minorHAnsi" w:hAnsiTheme="minorHAnsi" w:cstheme="minorHAnsi"/>
          <w:b/>
          <w:i w:val="0"/>
          <w:iCs w:val="0"/>
          <w:sz w:val="22"/>
          <w:szCs w:val="22"/>
        </w:rPr>
      </w:pPr>
      <w:r w:rsidRPr="00F85D1D">
        <w:rPr>
          <w:rFonts w:asciiTheme="minorHAnsi" w:hAnsiTheme="minorHAnsi" w:cstheme="minorHAnsi"/>
          <w:b/>
          <w:i w:val="0"/>
          <w:iCs w:val="0"/>
          <w:sz w:val="22"/>
          <w:szCs w:val="22"/>
        </w:rPr>
        <w:t>CHARAKTERYSTKA PRZEDSIĘWZIĘCIA</w:t>
      </w:r>
    </w:p>
    <w:p w:rsidR="00B753B5" w:rsidRPr="00F85D1D" w:rsidRDefault="002133E3" w:rsidP="0000163D">
      <w:pPr>
        <w:shd w:val="clear" w:color="auto" w:fill="FFFFFF"/>
        <w:spacing w:before="360"/>
        <w:ind w:left="23" w:firstLine="685"/>
        <w:jc w:val="both"/>
        <w:rPr>
          <w:rFonts w:asciiTheme="minorHAnsi" w:hAnsiTheme="minorHAnsi" w:cstheme="minorHAnsi"/>
          <w:b/>
          <w:sz w:val="22"/>
          <w:szCs w:val="22"/>
        </w:rPr>
      </w:pPr>
      <w:r w:rsidRPr="00F85D1D">
        <w:rPr>
          <w:rFonts w:asciiTheme="minorHAnsi" w:hAnsiTheme="minorHAnsi" w:cstheme="minorHAnsi"/>
          <w:b/>
          <w:sz w:val="22"/>
          <w:szCs w:val="22"/>
        </w:rPr>
        <w:t>„</w:t>
      </w:r>
      <w:r w:rsidR="00C565C0" w:rsidRPr="00F85D1D">
        <w:rPr>
          <w:rFonts w:asciiTheme="minorHAnsi" w:hAnsiTheme="minorHAnsi" w:cstheme="minorHAnsi"/>
          <w:b/>
          <w:sz w:val="22"/>
          <w:szCs w:val="22"/>
        </w:rPr>
        <w:t>Przetwarzanie odpadów na terenie nieruchomości zlokalizowanej w Górkach na działce ewidencyjnej nr 23/84 obręb Górki, gmina Kwidzyn, powiat kwidzyński</w:t>
      </w:r>
      <w:r w:rsidRPr="00F85D1D">
        <w:rPr>
          <w:rFonts w:asciiTheme="minorHAnsi" w:hAnsiTheme="minorHAnsi" w:cstheme="minorHAnsi"/>
          <w:b/>
          <w:sz w:val="22"/>
          <w:szCs w:val="22"/>
        </w:rPr>
        <w:t>”</w:t>
      </w:r>
    </w:p>
    <w:p w:rsidR="0000163D" w:rsidRPr="00F85D1D" w:rsidRDefault="0000163D" w:rsidP="0000163D">
      <w:pPr>
        <w:shd w:val="clear" w:color="auto" w:fill="FFFFFF"/>
        <w:spacing w:before="360"/>
        <w:ind w:left="23" w:firstLine="685"/>
        <w:jc w:val="both"/>
        <w:rPr>
          <w:rFonts w:asciiTheme="minorHAnsi" w:hAnsiTheme="minorHAnsi" w:cstheme="minorHAnsi"/>
          <w:sz w:val="22"/>
          <w:szCs w:val="22"/>
        </w:rPr>
      </w:pPr>
      <w:r w:rsidRPr="00F85D1D">
        <w:rPr>
          <w:rFonts w:asciiTheme="minorHAnsi" w:hAnsiTheme="minorHAnsi" w:cstheme="minorHAnsi"/>
          <w:sz w:val="22"/>
          <w:szCs w:val="22"/>
        </w:rPr>
        <w:t>Charakterystyka planowanego przedsięwzięcia zg</w:t>
      </w:r>
      <w:r w:rsidR="003403F9" w:rsidRPr="00F85D1D">
        <w:rPr>
          <w:rFonts w:asciiTheme="minorHAnsi" w:hAnsiTheme="minorHAnsi" w:cstheme="minorHAnsi"/>
          <w:sz w:val="22"/>
          <w:szCs w:val="22"/>
        </w:rPr>
        <w:t>odnie z art. 84 ust. 2 ustawy o </w:t>
      </w:r>
      <w:r w:rsidRPr="00F85D1D">
        <w:rPr>
          <w:rFonts w:asciiTheme="minorHAnsi" w:hAnsiTheme="minorHAnsi" w:cstheme="minorHAnsi"/>
          <w:sz w:val="22"/>
          <w:szCs w:val="22"/>
        </w:rPr>
        <w:t xml:space="preserve">udostępnieniu informacji o środowisku i jego ochronie, udziale społeczeństwa w ochronie środowiska oraz ocenach oddziaływania na środowisko </w:t>
      </w:r>
      <w:r w:rsidR="00D22F9B" w:rsidRPr="00F85D1D">
        <w:rPr>
          <w:rFonts w:asciiTheme="minorHAnsi" w:hAnsiTheme="minorHAnsi" w:cstheme="minorHAnsi"/>
          <w:sz w:val="22"/>
          <w:szCs w:val="22"/>
          <w:lang w:eastAsia="ar-SA"/>
        </w:rPr>
        <w:t>(</w:t>
      </w:r>
      <w:r w:rsidR="00F85D1D" w:rsidRPr="00F85D1D">
        <w:rPr>
          <w:rFonts w:asciiTheme="minorHAnsi" w:eastAsiaTheme="minorEastAsia" w:hAnsiTheme="minorHAnsi" w:cstheme="minorHAnsi"/>
          <w:iCs w:val="0"/>
          <w:sz w:val="22"/>
          <w:szCs w:val="22"/>
        </w:rPr>
        <w:t>tekst jedn. Dz. U. z 2021 r., poz. 2373 ze zm.</w:t>
      </w:r>
      <w:r w:rsidR="00D22F9B" w:rsidRPr="00F85D1D">
        <w:rPr>
          <w:rFonts w:asciiTheme="minorHAnsi" w:hAnsiTheme="minorHAnsi" w:cstheme="minorHAnsi"/>
          <w:sz w:val="22"/>
          <w:szCs w:val="22"/>
          <w:lang w:eastAsia="ar-SA"/>
        </w:rPr>
        <w:t xml:space="preserve">) </w:t>
      </w:r>
      <w:r w:rsidRPr="00F85D1D">
        <w:rPr>
          <w:rFonts w:asciiTheme="minorHAnsi" w:hAnsiTheme="minorHAnsi" w:cstheme="minorHAnsi"/>
          <w:sz w:val="22"/>
          <w:szCs w:val="22"/>
        </w:rPr>
        <w:t>Przedmiotową charakterystykę sporządzono w oparciu o dane zawarte w karcie informacyjnej przedsięwzięcia.</w:t>
      </w:r>
    </w:p>
    <w:p w:rsidR="0000163D" w:rsidRPr="00F85D1D" w:rsidRDefault="0000163D" w:rsidP="0000163D">
      <w:pPr>
        <w:shd w:val="clear" w:color="auto" w:fill="FFFFFF"/>
        <w:ind w:left="34"/>
        <w:jc w:val="center"/>
        <w:rPr>
          <w:rFonts w:asciiTheme="minorHAnsi" w:hAnsiTheme="minorHAnsi" w:cstheme="minorHAnsi"/>
          <w:b/>
          <w:i w:val="0"/>
          <w:sz w:val="22"/>
          <w:szCs w:val="22"/>
        </w:rPr>
      </w:pPr>
    </w:p>
    <w:p w:rsidR="00F85D1D" w:rsidRPr="00F85D1D" w:rsidRDefault="00F85D1D" w:rsidP="00F85D1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Planowane przedsięwzięcie obejmować będzie budowę farmy fotowoltaicznej wraz z zagospodarowaniem terenu i niezbędną infrastrukturą techniczną, o mocy do 6 MW. </w:t>
      </w:r>
    </w:p>
    <w:p w:rsidR="00F85D1D" w:rsidRPr="00F85D1D" w:rsidRDefault="00F85D1D" w:rsidP="00F85D1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Projektowaną elektrownię fotowoltaiczną tworzyć będą następujące elementy: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konstrukcje wsporcze do montażu paneli fotowoltaicznych;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panele fotowoltaiczne;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Pr>
          <w:rFonts w:ascii="Calibri" w:hAnsi="Calibri" w:cs="Calibri"/>
          <w:i w:val="0"/>
          <w:iCs w:val="0"/>
          <w:sz w:val="22"/>
          <w:szCs w:val="22"/>
        </w:rPr>
        <w:t xml:space="preserve">stacje transformatorowe </w:t>
      </w:r>
      <w:r w:rsidRPr="00F85D1D">
        <w:rPr>
          <w:rFonts w:ascii="Calibri" w:hAnsi="Calibri" w:cs="Calibri"/>
          <w:i w:val="0"/>
          <w:iCs w:val="0"/>
          <w:sz w:val="22"/>
          <w:szCs w:val="22"/>
        </w:rPr>
        <w:t xml:space="preserve">i inwertery;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sieć kablowa, teletechniczna i telekomunikacyjna łącząca poszczególne farmy;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pozostała infrastruktura np. komunikacja wewnętrzna;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infrastruktura stanowiąca przyłączenie do sieci operatora elektroenergetycznego; </w:t>
      </w:r>
    </w:p>
    <w:p w:rsidR="00F85D1D" w:rsidRPr="00F85D1D" w:rsidRDefault="00F85D1D" w:rsidP="00F85D1D">
      <w:pPr>
        <w:widowControl/>
        <w:numPr>
          <w:ilvl w:val="0"/>
          <w:numId w:val="1"/>
        </w:numPr>
        <w:kinsoku w:val="0"/>
        <w:overflowPunct w:val="0"/>
        <w:autoSpaceDE/>
        <w:autoSpaceDN/>
        <w:adjustRightInd/>
        <w:spacing w:before="59" w:line="360" w:lineRule="auto"/>
        <w:ind w:left="567" w:right="-1" w:hanging="567"/>
        <w:jc w:val="both"/>
        <w:textAlignment w:val="baseline"/>
        <w:rPr>
          <w:rFonts w:ascii="Calibri" w:hAnsi="Calibri" w:cs="Calibri"/>
          <w:i w:val="0"/>
          <w:iCs w:val="0"/>
          <w:sz w:val="22"/>
          <w:szCs w:val="22"/>
        </w:rPr>
      </w:pPr>
      <w:r w:rsidRPr="00F85D1D">
        <w:rPr>
          <w:rFonts w:ascii="Calibri" w:hAnsi="Calibri" w:cs="Calibri"/>
          <w:i w:val="0"/>
          <w:iCs w:val="0"/>
          <w:sz w:val="22"/>
          <w:szCs w:val="22"/>
        </w:rPr>
        <w:t>ogrodzenie z siatki lub paneli systemowych wraz z bramą.</w:t>
      </w:r>
    </w:p>
    <w:p w:rsidR="00F85D1D" w:rsidRPr="00F85D1D" w:rsidRDefault="00F85D1D" w:rsidP="00F85D1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Panele fotowoltaiczne zostaną przytwierdzone do stalowych, ocynkowanych konstrukcji wsporczych - stołów montażowych i ustawione w rzędach. Cała konstrukcja zostanie posadowiona   bezpośrednio w gruncie, bez użycia fundamentowania betonowego. </w:t>
      </w:r>
    </w:p>
    <w:p w:rsidR="00F85D1D" w:rsidRPr="00F85D1D" w:rsidRDefault="00F85D1D" w:rsidP="00F85D1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Przestrzeń pomiędzy rzędami paneli nie będzie przekształcana i pozostanie biologicznie czynna. Panele fotowoltaiczne są fabrycznie pokryte powłoką antyrefleksyjną. Panele fotowoltaiczne zostaną połączone w zestawy (rzędy, stringi), a następnie z inwerterami za pomocą nadziemnych przewodów spiętych w wiązki i prowadzonych   po konstrukcjach wsporczych    paneli.  Urządzenia przetwarzające prąd będą umieszczone w stacjach kontenerowych. W celu wyprowadzenia mocy z elektrowni słonecznej przewiduje się wykonanie podziemnej linii kablowej, pomiędzy stacjami   </w:t>
      </w:r>
      <w:r w:rsidRPr="00F85D1D">
        <w:rPr>
          <w:rFonts w:ascii="Calibri" w:hAnsi="Calibri" w:cs="Calibri"/>
          <w:i w:val="0"/>
          <w:iCs w:val="0"/>
          <w:sz w:val="22"/>
          <w:szCs w:val="22"/>
        </w:rPr>
        <w:lastRenderedPageBreak/>
        <w:t xml:space="preserve">kontenerowymi a miejscem przyłączenia do sieci. </w:t>
      </w:r>
    </w:p>
    <w:p w:rsidR="00F85D1D" w:rsidRPr="00F85D1D" w:rsidRDefault="00F85D1D" w:rsidP="00F85D1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F85D1D">
        <w:rPr>
          <w:rFonts w:ascii="Calibri" w:hAnsi="Calibri" w:cs="Calibri"/>
          <w:i w:val="0"/>
          <w:iCs w:val="0"/>
          <w:sz w:val="22"/>
          <w:szCs w:val="22"/>
        </w:rPr>
        <w:t xml:space="preserve">Projektuje się zastosowanie prefabrykowanych stacji kontenerowych z zastosowaniem transformatorów napięcia </w:t>
      </w:r>
      <w:proofErr w:type="spellStart"/>
      <w:r w:rsidRPr="00F85D1D">
        <w:rPr>
          <w:rFonts w:ascii="Calibri" w:hAnsi="Calibri" w:cs="Calibri"/>
          <w:i w:val="0"/>
          <w:iCs w:val="0"/>
          <w:sz w:val="22"/>
          <w:szCs w:val="22"/>
        </w:rPr>
        <w:t>nN</w:t>
      </w:r>
      <w:proofErr w:type="spellEnd"/>
      <w:r w:rsidRPr="00F85D1D">
        <w:rPr>
          <w:rFonts w:ascii="Calibri" w:hAnsi="Calibri" w:cs="Calibri"/>
          <w:i w:val="0"/>
          <w:iCs w:val="0"/>
          <w:sz w:val="22"/>
          <w:szCs w:val="22"/>
        </w:rPr>
        <w:t xml:space="preserve">/Sn. Łączna moc stacji, które będą obsługiwać projektowaną instalację fotowoltaiczną będzie miała moc do 6 MW. Kontenery będą wyposażone w osprzęt niezbędny do pracy całego obiektu </w:t>
      </w:r>
      <w:proofErr w:type="spellStart"/>
      <w:r w:rsidRPr="00F85D1D">
        <w:rPr>
          <w:rFonts w:ascii="Calibri" w:hAnsi="Calibri" w:cs="Calibri"/>
          <w:i w:val="0"/>
          <w:iCs w:val="0"/>
          <w:sz w:val="22"/>
          <w:szCs w:val="22"/>
        </w:rPr>
        <w:t>tj</w:t>
      </w:r>
      <w:proofErr w:type="spellEnd"/>
      <w:r w:rsidRPr="00F85D1D">
        <w:rPr>
          <w:rFonts w:ascii="Calibri" w:hAnsi="Calibri" w:cs="Calibri"/>
          <w:i w:val="0"/>
          <w:iCs w:val="0"/>
          <w:sz w:val="22"/>
          <w:szCs w:val="22"/>
        </w:rPr>
        <w:t xml:space="preserve"> transformator, rozdzielnicę potrzeb własnych, układ kontroli zdalnej przez operatora  sieci dystrybucyjnej, monitoringu i wentylacji. Planuje się zastosowanie  transformatorów typu suchego lub olejowego. Dla transformatorów olejowych konieczne będzie zamontowanie szczelnej misy/tacy na olej, która pomieści co najmniej 100% oleju jaki będzie zawierał transformator. </w:t>
      </w:r>
    </w:p>
    <w:p w:rsidR="00F85D1D" w:rsidRPr="00F85D1D" w:rsidRDefault="00F85D1D" w:rsidP="00F85D1D">
      <w:pPr>
        <w:kinsoku w:val="0"/>
        <w:overflowPunct w:val="0"/>
        <w:autoSpaceDE/>
        <w:autoSpaceDN/>
        <w:adjustRightInd/>
        <w:spacing w:before="59" w:line="360" w:lineRule="auto"/>
        <w:ind w:right="-1"/>
        <w:jc w:val="both"/>
        <w:textAlignment w:val="baseline"/>
        <w:rPr>
          <w:rFonts w:ascii="Calibri" w:hAnsi="Calibri" w:cs="Calibri"/>
          <w:i w:val="0"/>
          <w:iCs w:val="0"/>
          <w:sz w:val="22"/>
          <w:szCs w:val="22"/>
        </w:rPr>
      </w:pPr>
      <w:r w:rsidRPr="00F85D1D">
        <w:rPr>
          <w:rFonts w:ascii="Calibri" w:hAnsi="Calibri" w:cs="Calibri"/>
          <w:i w:val="0"/>
          <w:iCs w:val="0"/>
          <w:sz w:val="22"/>
          <w:szCs w:val="22"/>
        </w:rPr>
        <w:t>Droga na terenie inwestycji będzie posiadać nawierzchnię gruntową ulepszoną (mechanicznie utwardzony grunt).</w:t>
      </w:r>
    </w:p>
    <w:p w:rsidR="00F85D1D" w:rsidRPr="00F85D1D" w:rsidRDefault="00F85D1D" w:rsidP="00F85D1D">
      <w:pPr>
        <w:widowControl/>
        <w:autoSpaceDE/>
        <w:autoSpaceDN/>
        <w:adjustRightInd/>
        <w:spacing w:line="360" w:lineRule="auto"/>
        <w:jc w:val="both"/>
        <w:rPr>
          <w:rFonts w:ascii="Calibri" w:hAnsi="Calibri" w:cs="Calibri"/>
          <w:i w:val="0"/>
          <w:iCs w:val="0"/>
          <w:sz w:val="22"/>
          <w:szCs w:val="22"/>
        </w:rPr>
      </w:pPr>
      <w:r>
        <w:rPr>
          <w:rFonts w:ascii="Calibri" w:hAnsi="Calibri" w:cs="Calibri"/>
          <w:i w:val="0"/>
          <w:iCs w:val="0"/>
          <w:sz w:val="22"/>
          <w:szCs w:val="22"/>
        </w:rPr>
        <w:t xml:space="preserve">W </w:t>
      </w:r>
      <w:r w:rsidRPr="00F85D1D">
        <w:rPr>
          <w:rFonts w:ascii="Calibri" w:hAnsi="Calibri" w:cs="Calibri"/>
          <w:i w:val="0"/>
          <w:iCs w:val="0"/>
          <w:sz w:val="22"/>
          <w:szCs w:val="22"/>
        </w:rPr>
        <w:t>związku z rodzajem i lokalizacją przedsięwzięcia, wykluczona jest możliwość oddziaływania planowanego przedsięwzięcia na obszary położone poza granicami Polski zarówno na etapie realizacji, jak i eksploatacji. Nie zachodzą, więc przestanki do przeprowadzenia postępowania w sprawie oceny oddziaływania na środowisko w kontekście transgranicznym.</w:t>
      </w:r>
    </w:p>
    <w:p w:rsidR="00F85D1D" w:rsidRPr="00F85D1D" w:rsidRDefault="00F85D1D" w:rsidP="00F85D1D">
      <w:pPr>
        <w:widowControl/>
        <w:autoSpaceDE/>
        <w:autoSpaceDN/>
        <w:adjustRightInd/>
        <w:spacing w:line="360" w:lineRule="auto"/>
        <w:jc w:val="both"/>
        <w:rPr>
          <w:rFonts w:ascii="Calibri" w:hAnsi="Calibri" w:cs="Calibri"/>
          <w:i w:val="0"/>
          <w:iCs w:val="0"/>
          <w:sz w:val="22"/>
          <w:szCs w:val="22"/>
        </w:rPr>
      </w:pPr>
      <w:r w:rsidRPr="00F85D1D">
        <w:rPr>
          <w:rFonts w:ascii="Calibri" w:hAnsi="Calibri" w:cs="Calibri"/>
          <w:i w:val="0"/>
          <w:iCs w:val="0"/>
          <w:sz w:val="22"/>
          <w:szCs w:val="22"/>
        </w:rPr>
        <w:t xml:space="preserve">Na podstawie danych z Planu gospodarowania wodami na obszarze dorzecza Wisły  opublikowanym w Rozporządzeniu Rady Ministrów z dnia 18 października 2016r. poz. 1911 i 1958 stwierdzono, iż przedsięwzięcie znajduje się w regionie  wodnym Dolnej Wisły, na obszarze następujących jednolitych części wód: </w:t>
      </w:r>
    </w:p>
    <w:p w:rsidR="00F85D1D" w:rsidRPr="00F85D1D" w:rsidRDefault="00F85D1D" w:rsidP="00F85D1D">
      <w:pPr>
        <w:widowControl/>
        <w:autoSpaceDE/>
        <w:autoSpaceDN/>
        <w:adjustRightInd/>
        <w:spacing w:line="360" w:lineRule="auto"/>
        <w:jc w:val="both"/>
        <w:rPr>
          <w:rFonts w:ascii="Calibri" w:hAnsi="Calibri" w:cs="Calibri"/>
          <w:i w:val="0"/>
          <w:iCs w:val="0"/>
          <w:sz w:val="22"/>
          <w:szCs w:val="22"/>
        </w:rPr>
      </w:pPr>
      <w:r w:rsidRPr="00F85D1D">
        <w:rPr>
          <w:rFonts w:ascii="Calibri" w:hAnsi="Calibri" w:cs="Calibri"/>
          <w:i w:val="0"/>
          <w:iCs w:val="0"/>
          <w:sz w:val="22"/>
          <w:szCs w:val="22"/>
        </w:rPr>
        <w:t xml:space="preserve">- powierzchniowych: </w:t>
      </w:r>
    </w:p>
    <w:p w:rsidR="00F85D1D" w:rsidRPr="00F85D1D" w:rsidRDefault="00F85D1D" w:rsidP="00F85D1D">
      <w:pPr>
        <w:widowControl/>
        <w:numPr>
          <w:ilvl w:val="0"/>
          <w:numId w:val="2"/>
        </w:numPr>
        <w:autoSpaceDE/>
        <w:autoSpaceDN/>
        <w:adjustRightInd/>
        <w:spacing w:line="360" w:lineRule="auto"/>
        <w:ind w:left="567" w:hanging="567"/>
        <w:jc w:val="both"/>
        <w:rPr>
          <w:rFonts w:ascii="Calibri" w:hAnsi="Calibri" w:cs="Calibri"/>
          <w:i w:val="0"/>
          <w:iCs w:val="0"/>
          <w:sz w:val="22"/>
          <w:szCs w:val="22"/>
        </w:rPr>
      </w:pPr>
      <w:r w:rsidRPr="00F85D1D">
        <w:rPr>
          <w:rFonts w:ascii="Calibri" w:hAnsi="Calibri" w:cs="Calibri"/>
          <w:i w:val="0"/>
          <w:iCs w:val="0"/>
          <w:sz w:val="22"/>
          <w:szCs w:val="22"/>
        </w:rPr>
        <w:t xml:space="preserve">kod: PLRW2000195229 — Liwa od wypływu z jez. </w:t>
      </w:r>
      <w:proofErr w:type="spellStart"/>
      <w:r w:rsidRPr="00F85D1D">
        <w:rPr>
          <w:rFonts w:ascii="Calibri" w:hAnsi="Calibri" w:cs="Calibri"/>
          <w:i w:val="0"/>
          <w:iCs w:val="0"/>
          <w:sz w:val="22"/>
          <w:szCs w:val="22"/>
        </w:rPr>
        <w:t>Liwieniec</w:t>
      </w:r>
      <w:proofErr w:type="spellEnd"/>
      <w:r w:rsidRPr="00F85D1D">
        <w:rPr>
          <w:rFonts w:ascii="Calibri" w:hAnsi="Calibri" w:cs="Calibri"/>
          <w:i w:val="0"/>
          <w:iCs w:val="0"/>
          <w:sz w:val="22"/>
          <w:szCs w:val="22"/>
        </w:rPr>
        <w:t xml:space="preserve"> do ujścia. Stanowi ona silnie zmienioną część  wód, jest monitorowana. Jej stan ogólny określono jako zły. JCWP jest zagrożona ryzykiem</w:t>
      </w:r>
      <w:r w:rsidRPr="00F85D1D">
        <w:rPr>
          <w:rFonts w:ascii="Times New Roman" w:hAnsi="Times New Roman" w:cs="Times New Roman"/>
          <w:i w:val="0"/>
          <w:iCs w:val="0"/>
          <w:sz w:val="24"/>
        </w:rPr>
        <w:t xml:space="preserve"> </w:t>
      </w:r>
      <w:r w:rsidRPr="00F85D1D">
        <w:rPr>
          <w:rFonts w:ascii="Calibri" w:hAnsi="Calibri" w:cs="Calibri"/>
          <w:i w:val="0"/>
          <w:iCs w:val="0"/>
          <w:sz w:val="22"/>
          <w:szCs w:val="22"/>
        </w:rPr>
        <w:t>nieosiągnięcia celów środowiskowych. Cel środowiskowy dla JCWP to dobry potencjał ekologiczny oraz dobry stan chemiczny. Dla JCWP określono odstępstwo   od osiągnięcia celów środowiskowych tj. przedłużenie terminu osiągnięcia celów środowiskowych ze względu na brak możliwości technicznych, termin osiągnięcia celów środowiskowych wskazano na 2027 rok. W JCWP znajdują się obszary chronione przeznaczone do ochrony siedlisk lub gatunków, o których mowa w przepisach ustawy z dnia 16 kwietnia 2004r. o ochronie przyrody (</w:t>
      </w:r>
      <w:proofErr w:type="spellStart"/>
      <w:r w:rsidRPr="00F85D1D">
        <w:rPr>
          <w:rFonts w:ascii="Calibri" w:hAnsi="Calibri" w:cs="Calibri"/>
          <w:i w:val="0"/>
          <w:iCs w:val="0"/>
          <w:sz w:val="22"/>
          <w:szCs w:val="22"/>
        </w:rPr>
        <w:t>t.j</w:t>
      </w:r>
      <w:proofErr w:type="spellEnd"/>
      <w:r w:rsidRPr="00F85D1D">
        <w:rPr>
          <w:rFonts w:ascii="Calibri" w:hAnsi="Calibri" w:cs="Calibri"/>
          <w:i w:val="0"/>
          <w:iCs w:val="0"/>
          <w:sz w:val="22"/>
          <w:szCs w:val="22"/>
        </w:rPr>
        <w:t xml:space="preserve">. Dz.U. 2020 poz. 55 z </w:t>
      </w:r>
      <w:proofErr w:type="spellStart"/>
      <w:r w:rsidRPr="00F85D1D">
        <w:rPr>
          <w:rFonts w:ascii="Calibri" w:hAnsi="Calibri" w:cs="Calibri"/>
          <w:i w:val="0"/>
          <w:iCs w:val="0"/>
          <w:sz w:val="22"/>
          <w:szCs w:val="22"/>
        </w:rPr>
        <w:t>późn</w:t>
      </w:r>
      <w:proofErr w:type="spellEnd"/>
      <w:r w:rsidRPr="00F85D1D">
        <w:rPr>
          <w:rFonts w:ascii="Calibri" w:hAnsi="Calibri" w:cs="Calibri"/>
          <w:i w:val="0"/>
          <w:iCs w:val="0"/>
          <w:sz w:val="22"/>
          <w:szCs w:val="22"/>
        </w:rPr>
        <w:t xml:space="preserve">. zm.), dla których utrzymanie lub poprawa stanu wód jest ważnym czynnikiem w ich ochronie dla którego cele środowiskowe zostały określone w akcie będącym podstawą prawną obszaru, planowane przedsięwzięcie nie znajduje się na takim obszarze, </w:t>
      </w:r>
    </w:p>
    <w:p w:rsidR="00F85D1D" w:rsidRPr="00F85D1D" w:rsidRDefault="00F85D1D" w:rsidP="00F85D1D">
      <w:pPr>
        <w:widowControl/>
        <w:autoSpaceDE/>
        <w:autoSpaceDN/>
        <w:adjustRightInd/>
        <w:spacing w:line="360" w:lineRule="auto"/>
        <w:jc w:val="both"/>
        <w:rPr>
          <w:rFonts w:ascii="Calibri" w:hAnsi="Calibri" w:cs="Calibri"/>
          <w:i w:val="0"/>
          <w:iCs w:val="0"/>
          <w:sz w:val="22"/>
          <w:szCs w:val="22"/>
        </w:rPr>
      </w:pPr>
      <w:r w:rsidRPr="00F85D1D">
        <w:rPr>
          <w:rFonts w:ascii="Calibri" w:hAnsi="Calibri" w:cs="Calibri"/>
          <w:i w:val="0"/>
          <w:iCs w:val="0"/>
          <w:sz w:val="22"/>
          <w:szCs w:val="22"/>
        </w:rPr>
        <w:t xml:space="preserve">- podziemnych: </w:t>
      </w:r>
    </w:p>
    <w:p w:rsidR="00F85D1D" w:rsidRPr="00F85D1D" w:rsidRDefault="00F85D1D" w:rsidP="00F85D1D">
      <w:pPr>
        <w:widowControl/>
        <w:numPr>
          <w:ilvl w:val="0"/>
          <w:numId w:val="2"/>
        </w:numPr>
        <w:autoSpaceDE/>
        <w:autoSpaceDN/>
        <w:adjustRightInd/>
        <w:spacing w:line="360" w:lineRule="auto"/>
        <w:ind w:left="567" w:hanging="567"/>
        <w:jc w:val="both"/>
        <w:rPr>
          <w:rFonts w:ascii="Calibri" w:hAnsi="Calibri" w:cs="Calibri"/>
          <w:i w:val="0"/>
          <w:iCs w:val="0"/>
          <w:sz w:val="22"/>
          <w:szCs w:val="22"/>
        </w:rPr>
      </w:pPr>
      <w:r w:rsidRPr="00F85D1D">
        <w:rPr>
          <w:rFonts w:ascii="Calibri" w:hAnsi="Calibri" w:cs="Calibri"/>
          <w:i w:val="0"/>
          <w:iCs w:val="0"/>
          <w:sz w:val="22"/>
          <w:szCs w:val="22"/>
        </w:rPr>
        <w:lastRenderedPageBreak/>
        <w:t xml:space="preserve">kod: PLGW200030 — </w:t>
      </w:r>
      <w:proofErr w:type="spellStart"/>
      <w:r w:rsidRPr="00F85D1D">
        <w:rPr>
          <w:rFonts w:ascii="Calibri" w:hAnsi="Calibri" w:cs="Calibri"/>
          <w:i w:val="0"/>
          <w:iCs w:val="0"/>
          <w:sz w:val="22"/>
          <w:szCs w:val="22"/>
        </w:rPr>
        <w:t>JCWPd</w:t>
      </w:r>
      <w:proofErr w:type="spellEnd"/>
      <w:r w:rsidRPr="00F85D1D">
        <w:rPr>
          <w:rFonts w:ascii="Calibri" w:hAnsi="Calibri" w:cs="Calibri"/>
          <w:i w:val="0"/>
          <w:iCs w:val="0"/>
          <w:sz w:val="22"/>
          <w:szCs w:val="22"/>
        </w:rPr>
        <w:t xml:space="preserve"> charakteryzuje się dobrym stanem ilościowym oraz chemicznym. </w:t>
      </w:r>
      <w:proofErr w:type="spellStart"/>
      <w:r w:rsidRPr="00F85D1D">
        <w:rPr>
          <w:rFonts w:ascii="Calibri" w:hAnsi="Calibri" w:cs="Calibri"/>
          <w:i w:val="0"/>
          <w:iCs w:val="0"/>
          <w:sz w:val="22"/>
          <w:szCs w:val="22"/>
        </w:rPr>
        <w:t>JCWPd</w:t>
      </w:r>
      <w:proofErr w:type="spellEnd"/>
      <w:r w:rsidRPr="00F85D1D">
        <w:rPr>
          <w:rFonts w:ascii="Calibri" w:hAnsi="Calibri" w:cs="Calibri"/>
          <w:i w:val="0"/>
          <w:iCs w:val="0"/>
          <w:sz w:val="22"/>
          <w:szCs w:val="22"/>
        </w:rPr>
        <w:t xml:space="preserve"> jest zagrożona ryzykiem nieosiągnięcia celów środowiskowych. Cel środowiskowy dla </w:t>
      </w:r>
      <w:proofErr w:type="spellStart"/>
      <w:r w:rsidRPr="00F85D1D">
        <w:rPr>
          <w:rFonts w:ascii="Calibri" w:hAnsi="Calibri" w:cs="Calibri"/>
          <w:i w:val="0"/>
          <w:iCs w:val="0"/>
          <w:sz w:val="22"/>
          <w:szCs w:val="22"/>
        </w:rPr>
        <w:t>JCWPd</w:t>
      </w:r>
      <w:proofErr w:type="spellEnd"/>
      <w:r w:rsidRPr="00F85D1D">
        <w:rPr>
          <w:rFonts w:ascii="Calibri" w:hAnsi="Calibri" w:cs="Calibri"/>
          <w:i w:val="0"/>
          <w:iCs w:val="0"/>
          <w:sz w:val="22"/>
          <w:szCs w:val="22"/>
        </w:rPr>
        <w:t xml:space="preserve"> to utrzymanie dobrego stanu ilościowego oraz chemicznego. </w:t>
      </w:r>
    </w:p>
    <w:p w:rsidR="00F85D1D" w:rsidRPr="00F85D1D" w:rsidRDefault="00F85D1D" w:rsidP="00F85D1D">
      <w:pPr>
        <w:widowControl/>
        <w:autoSpaceDE/>
        <w:autoSpaceDN/>
        <w:adjustRightInd/>
        <w:spacing w:line="360" w:lineRule="auto"/>
        <w:jc w:val="both"/>
        <w:rPr>
          <w:rFonts w:ascii="Calibri" w:hAnsi="Calibri" w:cs="Calibri"/>
          <w:i w:val="0"/>
          <w:iCs w:val="0"/>
          <w:sz w:val="22"/>
          <w:szCs w:val="22"/>
        </w:rPr>
      </w:pPr>
      <w:r w:rsidRPr="00F85D1D">
        <w:rPr>
          <w:rFonts w:ascii="Calibri" w:hAnsi="Calibri" w:cs="Calibri"/>
          <w:i w:val="0"/>
          <w:iCs w:val="0"/>
          <w:sz w:val="22"/>
          <w:szCs w:val="22"/>
        </w:rPr>
        <w:t>Planowane przedsięwzięcie nie znajduje się na obszarze stref ochronnych ujęć wód ani na obszarze ochronnym zbiorników wód śródlądowych. Nie znajduje się na obszarze szczególnego  zagrożenia powodzią w rozumieniu art. 16 pkt 34 ustawy z dnia 20 lipca 2017r. Prawo wodne.</w:t>
      </w:r>
    </w:p>
    <w:p w:rsidR="00F85D1D" w:rsidRPr="00F85D1D" w:rsidRDefault="00F85D1D" w:rsidP="00F85D1D">
      <w:pPr>
        <w:widowControl/>
        <w:autoSpaceDE/>
        <w:autoSpaceDN/>
        <w:adjustRightInd/>
        <w:spacing w:line="360" w:lineRule="auto"/>
        <w:jc w:val="both"/>
        <w:rPr>
          <w:rFonts w:ascii="Calibri" w:hAnsi="Calibri" w:cs="Calibri"/>
          <w:i w:val="0"/>
          <w:iCs w:val="0"/>
          <w:sz w:val="22"/>
          <w:szCs w:val="22"/>
        </w:rPr>
      </w:pPr>
      <w:r w:rsidRPr="00F85D1D">
        <w:rPr>
          <w:rFonts w:ascii="Calibri" w:hAnsi="Calibri" w:cs="Calibri"/>
          <w:i w:val="0"/>
          <w:iCs w:val="0"/>
          <w:sz w:val="22"/>
          <w:szCs w:val="22"/>
        </w:rPr>
        <w:t>W trakcie realizacji i eksploatacji inwestycji, środowisko gruntowo-wodne i wód powierzchniowych będzie właściwie chronione przed  jej potencjalnym wpływem, jak również nie będzie negatywnego oddziaływania na jednolite części wód podziemnych i powierzchniowych   wyodrębnionych na mocy Ramowej Dyrektywy Wodnej.</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Przedmiotowe przedsięwzięcie zlokalizowane zostanie na działce nr 161 obręb Janowo, gmina  Kwidzyn, powiat kwidzyński, województwo pomorskie.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Całkowita powierzchnia działki 161  wynosi 7,36 ha. Łączna powierzchnia terenu zajęta przez obiekty budowlane oraz pozostała powierzchnia przeznaczona do przekształcenia, w tym tymczasowego, w celu realizacji przedsięwzięcia będzie wynosić do 6,5 ha.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Zdecydowaną większość działki inwestycyjnej stanowią grunty orne klasy </w:t>
      </w:r>
      <w:proofErr w:type="spellStart"/>
      <w:r w:rsidRPr="00F85D1D">
        <w:rPr>
          <w:rFonts w:ascii="Calibri" w:hAnsi="Calibri" w:cs="Calibri"/>
          <w:i w:val="0"/>
          <w:iCs w:val="0"/>
          <w:sz w:val="22"/>
          <w:szCs w:val="22"/>
        </w:rPr>
        <w:t>RIVa</w:t>
      </w:r>
      <w:proofErr w:type="spellEnd"/>
      <w:r w:rsidRPr="00F85D1D">
        <w:rPr>
          <w:rFonts w:ascii="Calibri" w:hAnsi="Calibri" w:cs="Calibri"/>
          <w:i w:val="0"/>
          <w:iCs w:val="0"/>
          <w:sz w:val="22"/>
          <w:szCs w:val="22"/>
        </w:rPr>
        <w:t xml:space="preserve">, jak również: </w:t>
      </w:r>
      <w:proofErr w:type="spellStart"/>
      <w:r w:rsidRPr="00F85D1D">
        <w:rPr>
          <w:rFonts w:ascii="Calibri" w:hAnsi="Calibri" w:cs="Calibri"/>
          <w:i w:val="0"/>
          <w:iCs w:val="0"/>
          <w:sz w:val="22"/>
          <w:szCs w:val="22"/>
        </w:rPr>
        <w:t>RIIIb</w:t>
      </w:r>
      <w:proofErr w:type="spellEnd"/>
      <w:r w:rsidRPr="00F85D1D">
        <w:rPr>
          <w:rFonts w:ascii="Calibri" w:hAnsi="Calibri" w:cs="Calibri"/>
          <w:i w:val="0"/>
          <w:iCs w:val="0"/>
          <w:sz w:val="22"/>
          <w:szCs w:val="22"/>
        </w:rPr>
        <w:t xml:space="preserve">,  </w:t>
      </w:r>
      <w:proofErr w:type="spellStart"/>
      <w:r w:rsidRPr="00F85D1D">
        <w:rPr>
          <w:rFonts w:ascii="Calibri" w:hAnsi="Calibri" w:cs="Calibri"/>
          <w:i w:val="0"/>
          <w:iCs w:val="0"/>
          <w:sz w:val="22"/>
          <w:szCs w:val="22"/>
        </w:rPr>
        <w:t>PsV</w:t>
      </w:r>
      <w:proofErr w:type="spellEnd"/>
      <w:r w:rsidRPr="00F85D1D">
        <w:rPr>
          <w:rFonts w:ascii="Calibri" w:hAnsi="Calibri" w:cs="Calibri"/>
          <w:i w:val="0"/>
          <w:iCs w:val="0"/>
          <w:sz w:val="22"/>
          <w:szCs w:val="22"/>
        </w:rPr>
        <w:t>, W-</w:t>
      </w:r>
      <w:proofErr w:type="spellStart"/>
      <w:r w:rsidRPr="00F85D1D">
        <w:rPr>
          <w:rFonts w:ascii="Calibri" w:hAnsi="Calibri" w:cs="Calibri"/>
          <w:i w:val="0"/>
          <w:iCs w:val="0"/>
          <w:sz w:val="22"/>
          <w:szCs w:val="22"/>
        </w:rPr>
        <w:t>RIVa</w:t>
      </w:r>
      <w:proofErr w:type="spellEnd"/>
      <w:r w:rsidRPr="00F85D1D">
        <w:rPr>
          <w:rFonts w:ascii="Calibri" w:hAnsi="Calibri" w:cs="Calibri"/>
          <w:i w:val="0"/>
          <w:iCs w:val="0"/>
          <w:sz w:val="22"/>
          <w:szCs w:val="22"/>
        </w:rPr>
        <w:t xml:space="preserve">, </w:t>
      </w:r>
      <w:proofErr w:type="spellStart"/>
      <w:r w:rsidRPr="00F85D1D">
        <w:rPr>
          <w:rFonts w:ascii="Calibri" w:hAnsi="Calibri" w:cs="Calibri"/>
          <w:i w:val="0"/>
          <w:iCs w:val="0"/>
          <w:sz w:val="22"/>
          <w:szCs w:val="22"/>
        </w:rPr>
        <w:t>LsIV</w:t>
      </w:r>
      <w:proofErr w:type="spellEnd"/>
      <w:r w:rsidRPr="00F85D1D">
        <w:rPr>
          <w:rFonts w:ascii="Calibri" w:hAnsi="Calibri" w:cs="Calibri"/>
          <w:i w:val="0"/>
          <w:iCs w:val="0"/>
          <w:sz w:val="22"/>
          <w:szCs w:val="22"/>
        </w:rPr>
        <w:t>, Br-</w:t>
      </w:r>
      <w:proofErr w:type="spellStart"/>
      <w:r w:rsidRPr="00F85D1D">
        <w:rPr>
          <w:rFonts w:ascii="Calibri" w:hAnsi="Calibri" w:cs="Calibri"/>
          <w:i w:val="0"/>
          <w:iCs w:val="0"/>
          <w:sz w:val="22"/>
          <w:szCs w:val="22"/>
        </w:rPr>
        <w:t>RIVa</w:t>
      </w:r>
      <w:proofErr w:type="spellEnd"/>
      <w:r w:rsidRPr="00F85D1D">
        <w:rPr>
          <w:rFonts w:ascii="Calibri" w:hAnsi="Calibri" w:cs="Calibri"/>
          <w:i w:val="0"/>
          <w:iCs w:val="0"/>
          <w:sz w:val="22"/>
          <w:szCs w:val="22"/>
        </w:rPr>
        <w:t xml:space="preserve">, N. Teren planowanego przedsięwzięcia będzie zlokalizowany wyłącznie na gruntach ornych </w:t>
      </w:r>
      <w:proofErr w:type="spellStart"/>
      <w:r w:rsidRPr="00F85D1D">
        <w:rPr>
          <w:rFonts w:ascii="Calibri" w:hAnsi="Calibri" w:cs="Calibri"/>
          <w:i w:val="0"/>
          <w:iCs w:val="0"/>
          <w:sz w:val="22"/>
          <w:szCs w:val="22"/>
        </w:rPr>
        <w:t>RIVa</w:t>
      </w:r>
      <w:proofErr w:type="spellEnd"/>
      <w:r w:rsidRPr="00F85D1D">
        <w:rPr>
          <w:rFonts w:ascii="Calibri" w:hAnsi="Calibri" w:cs="Calibri"/>
          <w:i w:val="0"/>
          <w:iCs w:val="0"/>
          <w:sz w:val="22"/>
          <w:szCs w:val="22"/>
        </w:rPr>
        <w:t xml:space="preserve">. Jest to ekosystem </w:t>
      </w:r>
      <w:proofErr w:type="spellStart"/>
      <w:r w:rsidRPr="00F85D1D">
        <w:rPr>
          <w:rFonts w:ascii="Calibri" w:hAnsi="Calibri" w:cs="Calibri"/>
          <w:i w:val="0"/>
          <w:iCs w:val="0"/>
          <w:sz w:val="22"/>
          <w:szCs w:val="22"/>
        </w:rPr>
        <w:t>zantropogenizowany</w:t>
      </w:r>
      <w:proofErr w:type="spellEnd"/>
      <w:r w:rsidRPr="00F85D1D">
        <w:rPr>
          <w:rFonts w:ascii="Calibri" w:hAnsi="Calibri" w:cs="Calibri"/>
          <w:i w:val="0"/>
          <w:iCs w:val="0"/>
          <w:sz w:val="22"/>
          <w:szCs w:val="22"/>
        </w:rPr>
        <w:t xml:space="preserve">, silnie uproszczony, co przekłada się na ubogą fitocenozę rozpatrywanego obszaru. Na terenie przeznaczonym pod inwestycję oraz w najbliższym otoczeniu oprócz roślin uprawnych stwierdzono występowanie typowych i szeroko rozpowszechnionych roślin </w:t>
      </w:r>
      <w:proofErr w:type="spellStart"/>
      <w:r w:rsidRPr="00F85D1D">
        <w:rPr>
          <w:rFonts w:ascii="Calibri" w:hAnsi="Calibri" w:cs="Calibri"/>
          <w:i w:val="0"/>
          <w:iCs w:val="0"/>
          <w:sz w:val="22"/>
          <w:szCs w:val="22"/>
        </w:rPr>
        <w:t>segetalnych</w:t>
      </w:r>
      <w:proofErr w:type="spellEnd"/>
      <w:r w:rsidRPr="00F85D1D">
        <w:rPr>
          <w:rFonts w:ascii="Calibri" w:hAnsi="Calibri" w:cs="Calibri"/>
          <w:i w:val="0"/>
          <w:iCs w:val="0"/>
          <w:sz w:val="22"/>
          <w:szCs w:val="22"/>
        </w:rPr>
        <w:t xml:space="preserve"> i ruderalnych. Zaliczyć do nich można takie gatunki roślin, jak: skrzyp polny </w:t>
      </w:r>
      <w:proofErr w:type="spellStart"/>
      <w:r w:rsidRPr="00F85D1D">
        <w:rPr>
          <w:rFonts w:ascii="Calibri" w:hAnsi="Calibri" w:cs="Calibri"/>
          <w:i w:val="0"/>
          <w:iCs w:val="0"/>
          <w:sz w:val="22"/>
          <w:szCs w:val="22"/>
        </w:rPr>
        <w:t>Equisetum</w:t>
      </w:r>
      <w:proofErr w:type="spellEnd"/>
      <w:r w:rsidRPr="00F85D1D">
        <w:rPr>
          <w:rFonts w:ascii="Calibri" w:hAnsi="Calibri" w:cs="Calibri"/>
          <w:i w:val="0"/>
          <w:iCs w:val="0"/>
          <w:sz w:val="22"/>
          <w:szCs w:val="22"/>
        </w:rPr>
        <w:t xml:space="preserve">  </w:t>
      </w:r>
      <w:proofErr w:type="spellStart"/>
      <w:r w:rsidRPr="00F85D1D">
        <w:rPr>
          <w:rFonts w:ascii="Calibri" w:hAnsi="Calibri" w:cs="Calibri"/>
          <w:i w:val="0"/>
          <w:iCs w:val="0"/>
          <w:sz w:val="22"/>
          <w:szCs w:val="22"/>
        </w:rPr>
        <w:t>arvense</w:t>
      </w:r>
      <w:proofErr w:type="spellEnd"/>
      <w:r w:rsidRPr="00F85D1D">
        <w:rPr>
          <w:rFonts w:ascii="Calibri" w:hAnsi="Calibri" w:cs="Calibri"/>
          <w:i w:val="0"/>
          <w:iCs w:val="0"/>
          <w:sz w:val="22"/>
          <w:szCs w:val="22"/>
        </w:rPr>
        <w:t xml:space="preserve">, gwiazdnica pospolita Stel/aria media, gorczyca polna </w:t>
      </w:r>
      <w:proofErr w:type="spellStart"/>
      <w:r w:rsidRPr="00F85D1D">
        <w:rPr>
          <w:rFonts w:ascii="Calibri" w:hAnsi="Calibri" w:cs="Calibri"/>
          <w:iCs w:val="0"/>
          <w:sz w:val="22"/>
          <w:szCs w:val="22"/>
        </w:rPr>
        <w:t>Sinapis</w:t>
      </w:r>
      <w:proofErr w:type="spellEnd"/>
      <w:r w:rsidRPr="00F85D1D">
        <w:rPr>
          <w:rFonts w:ascii="Calibri" w:hAnsi="Calibri" w:cs="Calibri"/>
          <w:iCs w:val="0"/>
          <w:sz w:val="22"/>
          <w:szCs w:val="22"/>
        </w:rPr>
        <w:t xml:space="preserve"> </w:t>
      </w:r>
      <w:proofErr w:type="spellStart"/>
      <w:r w:rsidRPr="00F85D1D">
        <w:rPr>
          <w:rFonts w:ascii="Calibri" w:hAnsi="Calibri" w:cs="Calibri"/>
          <w:iCs w:val="0"/>
          <w:sz w:val="22"/>
          <w:szCs w:val="22"/>
        </w:rPr>
        <w:t>arvensis</w:t>
      </w:r>
      <w:proofErr w:type="spellEnd"/>
      <w:r w:rsidRPr="00F85D1D">
        <w:rPr>
          <w:rFonts w:ascii="Calibri" w:hAnsi="Calibri" w:cs="Calibri"/>
          <w:iCs w:val="0"/>
          <w:sz w:val="22"/>
          <w:szCs w:val="22"/>
        </w:rPr>
        <w:t>,</w:t>
      </w:r>
      <w:r w:rsidRPr="00F85D1D">
        <w:rPr>
          <w:rFonts w:ascii="Calibri" w:hAnsi="Calibri" w:cs="Calibri"/>
          <w:i w:val="0"/>
          <w:iCs w:val="0"/>
          <w:sz w:val="22"/>
          <w:szCs w:val="22"/>
        </w:rPr>
        <w:t xml:space="preserve"> tasznik pospolity </w:t>
      </w:r>
      <w:proofErr w:type="spellStart"/>
      <w:r w:rsidRPr="00F85D1D">
        <w:rPr>
          <w:rFonts w:ascii="Calibri" w:hAnsi="Calibri" w:cs="Calibri"/>
          <w:iCs w:val="0"/>
          <w:sz w:val="22"/>
          <w:szCs w:val="22"/>
        </w:rPr>
        <w:t>Capsefia</w:t>
      </w:r>
      <w:proofErr w:type="spellEnd"/>
      <w:r w:rsidRPr="00F85D1D">
        <w:rPr>
          <w:rFonts w:ascii="Calibri" w:hAnsi="Calibri" w:cs="Calibri"/>
          <w:iCs w:val="0"/>
          <w:sz w:val="22"/>
          <w:szCs w:val="22"/>
        </w:rPr>
        <w:t xml:space="preserve"> bursa </w:t>
      </w:r>
      <w:proofErr w:type="spellStart"/>
      <w:r w:rsidRPr="00F85D1D">
        <w:rPr>
          <w:rFonts w:ascii="Calibri" w:hAnsi="Calibri" w:cs="Calibri"/>
          <w:iCs w:val="0"/>
          <w:sz w:val="22"/>
          <w:szCs w:val="22"/>
        </w:rPr>
        <w:t>pastoris</w:t>
      </w:r>
      <w:proofErr w:type="spellEnd"/>
      <w:r w:rsidRPr="00F85D1D">
        <w:rPr>
          <w:rFonts w:ascii="Calibri" w:hAnsi="Calibri" w:cs="Calibri"/>
          <w:i w:val="0"/>
          <w:iCs w:val="0"/>
          <w:sz w:val="22"/>
          <w:szCs w:val="22"/>
        </w:rPr>
        <w:t xml:space="preserve">, krwawnik pospolity </w:t>
      </w:r>
      <w:proofErr w:type="spellStart"/>
      <w:r w:rsidRPr="00F85D1D">
        <w:rPr>
          <w:rFonts w:ascii="Calibri" w:hAnsi="Calibri" w:cs="Calibri"/>
          <w:iCs w:val="0"/>
          <w:sz w:val="22"/>
          <w:szCs w:val="22"/>
        </w:rPr>
        <w:t>Achillea</w:t>
      </w:r>
      <w:proofErr w:type="spellEnd"/>
      <w:r w:rsidRPr="00F85D1D">
        <w:rPr>
          <w:rFonts w:ascii="Calibri" w:hAnsi="Calibri" w:cs="Calibri"/>
          <w:iCs w:val="0"/>
          <w:sz w:val="22"/>
          <w:szCs w:val="22"/>
        </w:rPr>
        <w:t xml:space="preserve"> </w:t>
      </w:r>
      <w:proofErr w:type="spellStart"/>
      <w:r w:rsidRPr="00F85D1D">
        <w:rPr>
          <w:rFonts w:ascii="Calibri" w:hAnsi="Calibri" w:cs="Calibri"/>
          <w:iCs w:val="0"/>
          <w:sz w:val="22"/>
          <w:szCs w:val="22"/>
        </w:rPr>
        <w:t>millefolium</w:t>
      </w:r>
      <w:proofErr w:type="spellEnd"/>
      <w:r w:rsidRPr="00F85D1D">
        <w:rPr>
          <w:rFonts w:ascii="Calibri" w:hAnsi="Calibri" w:cs="Calibri"/>
          <w:i w:val="0"/>
          <w:iCs w:val="0"/>
          <w:sz w:val="22"/>
          <w:szCs w:val="22"/>
        </w:rPr>
        <w:t xml:space="preserve">.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Teren inwestycji graniczy głównie z innymi polarni uprawnymi — od strony północnej i zachodniej. Od strony wschodniej i południowej znajduje się luźna zabudowa gospodarska i mieszkaniowa, oddzielona przez fragment przydrożnych </w:t>
      </w:r>
      <w:proofErr w:type="spellStart"/>
      <w:r w:rsidRPr="00F85D1D">
        <w:rPr>
          <w:rFonts w:ascii="Calibri" w:hAnsi="Calibri" w:cs="Calibri"/>
          <w:i w:val="0"/>
          <w:iCs w:val="0"/>
          <w:sz w:val="22"/>
          <w:szCs w:val="22"/>
        </w:rPr>
        <w:t>zadrzewień</w:t>
      </w:r>
      <w:proofErr w:type="spellEnd"/>
      <w:r w:rsidRPr="00F85D1D">
        <w:rPr>
          <w:rFonts w:ascii="Calibri" w:hAnsi="Calibri" w:cs="Calibri"/>
          <w:i w:val="0"/>
          <w:iCs w:val="0"/>
          <w:sz w:val="22"/>
          <w:szCs w:val="22"/>
        </w:rPr>
        <w:t xml:space="preserve">.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Z uwagi na możliwość występowania na przedmiotowym terenie </w:t>
      </w:r>
      <w:proofErr w:type="spellStart"/>
      <w:r w:rsidRPr="00F85D1D">
        <w:rPr>
          <w:rFonts w:ascii="Calibri" w:hAnsi="Calibri" w:cs="Calibri"/>
          <w:i w:val="0"/>
          <w:iCs w:val="0"/>
          <w:sz w:val="22"/>
          <w:szCs w:val="22"/>
        </w:rPr>
        <w:t>herpetofauny</w:t>
      </w:r>
      <w:proofErr w:type="spellEnd"/>
      <w:r w:rsidRPr="00F85D1D">
        <w:rPr>
          <w:rFonts w:ascii="Calibri" w:hAnsi="Calibri" w:cs="Calibri"/>
          <w:i w:val="0"/>
          <w:iCs w:val="0"/>
          <w:sz w:val="22"/>
          <w:szCs w:val="22"/>
        </w:rPr>
        <w:t xml:space="preserve">, tutejszy organ zalecił podczas prowadzenia wykopów zabezpieczenie placu robót np. płotkiem z siatki herpetologicznej przed przedostaniem się do wykopów małych zwierząt oraz codzienną kontrolę wykopów przed przystąpieniem do dalszych prac. Uwięzione zwierzęta niezwłocznie należy przenosić poza teren objęty pracami, na właściwe dla nich siedlisko.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Przenoszenie należy prowadzić pod nadzorem przyrodnika. Dodatkowo, z uwagi na wyniki najnowszych badań przeprowadzonych m.in. przez naukowców z Uniwersytetu Jagiellońskiego w latach 2018-2019, które potwierdzają występowanie w populacjach płazów w Polsce  </w:t>
      </w:r>
      <w:proofErr w:type="spellStart"/>
      <w:r w:rsidRPr="00F85D1D">
        <w:rPr>
          <w:rFonts w:ascii="Calibri" w:hAnsi="Calibri" w:cs="Calibri"/>
          <w:iCs w:val="0"/>
          <w:sz w:val="22"/>
          <w:szCs w:val="22"/>
        </w:rPr>
        <w:lastRenderedPageBreak/>
        <w:t>Batrachochydrium</w:t>
      </w:r>
      <w:proofErr w:type="spellEnd"/>
      <w:r w:rsidRPr="00F85D1D">
        <w:rPr>
          <w:rFonts w:ascii="Calibri" w:hAnsi="Calibri" w:cs="Calibri"/>
          <w:iCs w:val="0"/>
          <w:sz w:val="22"/>
          <w:szCs w:val="22"/>
        </w:rPr>
        <w:t xml:space="preserve"> </w:t>
      </w:r>
      <w:proofErr w:type="spellStart"/>
      <w:r w:rsidRPr="00F85D1D">
        <w:rPr>
          <w:rFonts w:ascii="Calibri" w:hAnsi="Calibri" w:cs="Calibri"/>
          <w:iCs w:val="0"/>
          <w:sz w:val="22"/>
          <w:szCs w:val="22"/>
        </w:rPr>
        <w:t>dendrobatidis</w:t>
      </w:r>
      <w:proofErr w:type="spellEnd"/>
      <w:r w:rsidRPr="00F85D1D">
        <w:rPr>
          <w:rFonts w:ascii="Calibri" w:hAnsi="Calibri" w:cs="Calibri"/>
          <w:i w:val="0"/>
          <w:iCs w:val="0"/>
          <w:sz w:val="22"/>
          <w:szCs w:val="22"/>
        </w:rPr>
        <w:t xml:space="preserve">, prace terenowe z tą grupą zwierząt należy prowadzić przy użyciu rękawiczek, a używany do tego  sprzęt musi być dezynfekowany.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Jednocześnie tutejszy organ zaznacza, że decyzja o środowiskowych uwarunkowaniach nie zastępuje zezwolenia w trybie art. 56 ww. ustawy z dnia 16 kwietnia 2004 r. o ochronie przyrody (tekst jedn. Dz. U. z 2022 r., poz. 916). Na ewentualne zniszczenie siedlisk gatunków, płoszenie lub przenoszenie gatunków znajdujących się pod ochroną należy zatem uzyskać zezwolenie w trybie art. 56 ust. 1 ww. ustawy.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Planowane przedsięwzięcie zlokalizowane jest poza obszarami Natura 2000. Najbliższe obszary Natura 2000 znajdują się W odległości: </w:t>
      </w:r>
    </w:p>
    <w:p w:rsidR="00F85D1D" w:rsidRPr="00F85D1D" w:rsidRDefault="00F85D1D" w:rsidP="00F85D1D">
      <w:pPr>
        <w:widowControl/>
        <w:numPr>
          <w:ilvl w:val="0"/>
          <w:numId w:val="3"/>
        </w:numPr>
        <w:autoSpaceDE/>
        <w:autoSpaceDN/>
        <w:adjustRightInd/>
        <w:spacing w:line="360" w:lineRule="auto"/>
        <w:ind w:left="567" w:hanging="567"/>
        <w:contextualSpacing/>
        <w:jc w:val="both"/>
        <w:rPr>
          <w:rFonts w:ascii="Calibri" w:hAnsi="Calibri" w:cs="Calibri"/>
          <w:i w:val="0"/>
          <w:iCs w:val="0"/>
          <w:sz w:val="22"/>
          <w:szCs w:val="22"/>
        </w:rPr>
      </w:pPr>
      <w:r w:rsidRPr="00F85D1D">
        <w:rPr>
          <w:rFonts w:ascii="Calibri" w:hAnsi="Calibri" w:cs="Calibri"/>
          <w:i w:val="0"/>
          <w:iCs w:val="0"/>
          <w:sz w:val="22"/>
          <w:szCs w:val="22"/>
        </w:rPr>
        <w:t xml:space="preserve">ok. 1,2 km Natura 2000 Dolina Dolnej Wisły PLB040003; </w:t>
      </w:r>
    </w:p>
    <w:p w:rsidR="00F85D1D" w:rsidRPr="00F85D1D" w:rsidRDefault="00F85D1D" w:rsidP="00F85D1D">
      <w:pPr>
        <w:widowControl/>
        <w:numPr>
          <w:ilvl w:val="0"/>
          <w:numId w:val="3"/>
        </w:numPr>
        <w:autoSpaceDE/>
        <w:autoSpaceDN/>
        <w:adjustRightInd/>
        <w:spacing w:line="360" w:lineRule="auto"/>
        <w:ind w:left="567" w:hanging="567"/>
        <w:contextualSpacing/>
        <w:jc w:val="both"/>
        <w:rPr>
          <w:rFonts w:ascii="Calibri" w:hAnsi="Calibri" w:cs="Calibri"/>
          <w:i w:val="0"/>
          <w:iCs w:val="0"/>
          <w:sz w:val="22"/>
          <w:szCs w:val="22"/>
        </w:rPr>
      </w:pPr>
      <w:r w:rsidRPr="00F85D1D">
        <w:rPr>
          <w:rFonts w:ascii="Calibri" w:hAnsi="Calibri" w:cs="Calibri"/>
          <w:i w:val="0"/>
          <w:iCs w:val="0"/>
          <w:sz w:val="22"/>
          <w:szCs w:val="22"/>
        </w:rPr>
        <w:t xml:space="preserve">ok. 1,0 km Natura 2000 Dolna Wisła PLH220033.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Położenie inwestycji na terenie wykorzystywanym rolniczo, wyklucza możliwość utraty powierzchni i fragmentacji siedlisk przyrodniczych i siedlisk gatunków stanowiących przedmiot ochrony w ww. obszarach Natura 2000. Mając na uwadze położenie geograficzne oraz skalę i charakter przedsięwzięcie, nie ma podstaw przypuszczać, aby realizacja inwestycji mogła również spowodować pogorszenie stanu siedlisk przyrodniczych lub siedlisk gatunków roślin i zwierząt, dla których ochrony zostały wyznaczone ww., obszary Natura 2000, wpłynąć negatywnie na gatunki, dla których obszary ochrony zostały wyznaczone, pogorszyć integralność obszarów Natura 2000  lub ich powiązania z innymi obszarami.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Nie jest więc konieczne przeprowadzenie oceny w trybie art. 6.3 Dyrektywy Siedliskowej.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 xml:space="preserve">Inne najbliżej położone obszary chronione, objęte ochroną na podstawie przepisów ustawy z dnia 16 kwietnie 2004 r. o ochronie przyrody znajdują się w odległości: </w:t>
      </w:r>
    </w:p>
    <w:p w:rsidR="00F85D1D" w:rsidRPr="00F85D1D" w:rsidRDefault="00F85D1D" w:rsidP="00F85D1D">
      <w:pPr>
        <w:widowControl/>
        <w:numPr>
          <w:ilvl w:val="0"/>
          <w:numId w:val="4"/>
        </w:numPr>
        <w:autoSpaceDE/>
        <w:autoSpaceDN/>
        <w:adjustRightInd/>
        <w:spacing w:line="360" w:lineRule="auto"/>
        <w:ind w:left="567" w:hanging="567"/>
        <w:contextualSpacing/>
        <w:jc w:val="both"/>
        <w:rPr>
          <w:rFonts w:ascii="Calibri" w:hAnsi="Calibri" w:cs="Calibri"/>
          <w:i w:val="0"/>
          <w:iCs w:val="0"/>
          <w:sz w:val="22"/>
          <w:szCs w:val="22"/>
        </w:rPr>
      </w:pPr>
      <w:r w:rsidRPr="00F85D1D">
        <w:rPr>
          <w:rFonts w:ascii="Calibri" w:hAnsi="Calibri" w:cs="Calibri"/>
          <w:i w:val="0"/>
          <w:iCs w:val="0"/>
          <w:sz w:val="22"/>
          <w:szCs w:val="22"/>
        </w:rPr>
        <w:t xml:space="preserve">ok. 1,2 km - Obszar Chronionego Krajobrazu Doliny Kwidzyńskiej; </w:t>
      </w:r>
    </w:p>
    <w:p w:rsidR="00F85D1D" w:rsidRPr="00F85D1D" w:rsidRDefault="00F85D1D" w:rsidP="00F85D1D">
      <w:pPr>
        <w:widowControl/>
        <w:numPr>
          <w:ilvl w:val="0"/>
          <w:numId w:val="4"/>
        </w:numPr>
        <w:autoSpaceDE/>
        <w:autoSpaceDN/>
        <w:adjustRightInd/>
        <w:spacing w:line="360" w:lineRule="auto"/>
        <w:ind w:left="567" w:hanging="567"/>
        <w:contextualSpacing/>
        <w:jc w:val="both"/>
        <w:rPr>
          <w:rFonts w:ascii="Calibri" w:hAnsi="Calibri" w:cs="Calibri"/>
          <w:i w:val="0"/>
          <w:iCs w:val="0"/>
          <w:sz w:val="22"/>
          <w:szCs w:val="22"/>
        </w:rPr>
      </w:pPr>
      <w:r w:rsidRPr="00F85D1D">
        <w:rPr>
          <w:rFonts w:ascii="Calibri" w:hAnsi="Calibri" w:cs="Calibri"/>
          <w:i w:val="0"/>
          <w:iCs w:val="0"/>
          <w:sz w:val="22"/>
          <w:szCs w:val="22"/>
        </w:rPr>
        <w:t xml:space="preserve">ok. 1,7 km — Nadwiślański Obszar Chronionego Krajobrazu. </w:t>
      </w: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p>
    <w:p w:rsidR="00F85D1D" w:rsidRPr="00F85D1D" w:rsidRDefault="00F85D1D" w:rsidP="00F85D1D">
      <w:pPr>
        <w:widowControl/>
        <w:autoSpaceDE/>
        <w:autoSpaceDN/>
        <w:adjustRightInd/>
        <w:spacing w:line="360" w:lineRule="auto"/>
        <w:contextualSpacing/>
        <w:jc w:val="both"/>
        <w:rPr>
          <w:rFonts w:ascii="Calibri" w:hAnsi="Calibri" w:cs="Calibri"/>
          <w:i w:val="0"/>
          <w:iCs w:val="0"/>
          <w:sz w:val="22"/>
          <w:szCs w:val="22"/>
        </w:rPr>
      </w:pPr>
      <w:r w:rsidRPr="00F85D1D">
        <w:rPr>
          <w:rFonts w:ascii="Calibri" w:hAnsi="Calibri" w:cs="Calibri"/>
          <w:i w:val="0"/>
          <w:iCs w:val="0"/>
          <w:sz w:val="22"/>
          <w:szCs w:val="22"/>
        </w:rPr>
        <w:t>Z uwagi na położenie poza granicami obszarów chronionych objętych ochroną na‚ podstawie przepisów ustawy o ochronie przyrody oraz przy uwzględnieniu charakteru i skali inwestycji stwierdzono, że przedsięwzięcie nie narusza przepisów w tym zakresie. Obszar objęty planowaną inwestycją zlokalizowany jest w bezpośrednim sąsiedztwie (0,5 km) od skraju korytarza Las Sztumski KPn-14C. Charakter inwestycji i jej zasięg pozwoli w dużym stopniu zachować funkcje migracyjne korytarza dla organizmów przemieszczających się w obrębie pobliskich terenów rolnych i leśnych.</w:t>
      </w:r>
    </w:p>
    <w:p w:rsidR="008409CE" w:rsidRPr="00F85D1D" w:rsidRDefault="008409CE" w:rsidP="00F85D1D">
      <w:pPr>
        <w:widowControl/>
        <w:suppressAutoHyphens/>
        <w:autoSpaceDE/>
        <w:autoSpaceDN/>
        <w:adjustRightInd/>
        <w:spacing w:line="360" w:lineRule="auto"/>
        <w:jc w:val="both"/>
        <w:rPr>
          <w:rFonts w:asciiTheme="minorHAnsi" w:hAnsiTheme="minorHAnsi" w:cstheme="minorHAnsi"/>
          <w:i w:val="0"/>
          <w:iCs w:val="0"/>
          <w:color w:val="FF0000"/>
          <w:sz w:val="22"/>
          <w:szCs w:val="22"/>
        </w:rPr>
      </w:pPr>
      <w:bookmarkStart w:id="0" w:name="_GoBack"/>
      <w:bookmarkEnd w:id="0"/>
    </w:p>
    <w:sectPr w:rsidR="008409CE" w:rsidRPr="00F85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515D"/>
    <w:multiLevelType w:val="hybridMultilevel"/>
    <w:tmpl w:val="52EC7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7800848"/>
    <w:multiLevelType w:val="hybridMultilevel"/>
    <w:tmpl w:val="DC183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CB77A6E"/>
    <w:multiLevelType w:val="hybridMultilevel"/>
    <w:tmpl w:val="1D1AC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13B265F"/>
    <w:multiLevelType w:val="hybridMultilevel"/>
    <w:tmpl w:val="7F0A4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3D"/>
    <w:rsid w:val="0000163D"/>
    <w:rsid w:val="000054E7"/>
    <w:rsid w:val="000215C9"/>
    <w:rsid w:val="00077303"/>
    <w:rsid w:val="000A1B0A"/>
    <w:rsid w:val="000C3AA5"/>
    <w:rsid w:val="000C3EE3"/>
    <w:rsid w:val="000D0A43"/>
    <w:rsid w:val="0012315B"/>
    <w:rsid w:val="001447A7"/>
    <w:rsid w:val="001626F4"/>
    <w:rsid w:val="00172C43"/>
    <w:rsid w:val="001F2A93"/>
    <w:rsid w:val="00202112"/>
    <w:rsid w:val="00211234"/>
    <w:rsid w:val="002133E3"/>
    <w:rsid w:val="00213D22"/>
    <w:rsid w:val="00245D4E"/>
    <w:rsid w:val="00281477"/>
    <w:rsid w:val="002A4BA6"/>
    <w:rsid w:val="002A7C79"/>
    <w:rsid w:val="003403F9"/>
    <w:rsid w:val="0035188C"/>
    <w:rsid w:val="00354198"/>
    <w:rsid w:val="00383B24"/>
    <w:rsid w:val="003A66AF"/>
    <w:rsid w:val="003E0CD4"/>
    <w:rsid w:val="004D7E6D"/>
    <w:rsid w:val="00520504"/>
    <w:rsid w:val="005239C8"/>
    <w:rsid w:val="00640AE3"/>
    <w:rsid w:val="006436B8"/>
    <w:rsid w:val="006728F7"/>
    <w:rsid w:val="006A53BF"/>
    <w:rsid w:val="006E7441"/>
    <w:rsid w:val="006F2E4E"/>
    <w:rsid w:val="007446FA"/>
    <w:rsid w:val="00750558"/>
    <w:rsid w:val="0077638F"/>
    <w:rsid w:val="007C2A12"/>
    <w:rsid w:val="007F24FE"/>
    <w:rsid w:val="008409CE"/>
    <w:rsid w:val="00850185"/>
    <w:rsid w:val="00881D7C"/>
    <w:rsid w:val="008E799E"/>
    <w:rsid w:val="008F364B"/>
    <w:rsid w:val="009012A5"/>
    <w:rsid w:val="0091318D"/>
    <w:rsid w:val="009378AE"/>
    <w:rsid w:val="0095340C"/>
    <w:rsid w:val="00977519"/>
    <w:rsid w:val="009A7DC7"/>
    <w:rsid w:val="009B0DBA"/>
    <w:rsid w:val="009B6C9B"/>
    <w:rsid w:val="009C117B"/>
    <w:rsid w:val="009D740F"/>
    <w:rsid w:val="00A04CA9"/>
    <w:rsid w:val="00A06B09"/>
    <w:rsid w:val="00A2667A"/>
    <w:rsid w:val="00B32B57"/>
    <w:rsid w:val="00B73CA3"/>
    <w:rsid w:val="00B753B5"/>
    <w:rsid w:val="00B867FE"/>
    <w:rsid w:val="00B86ADC"/>
    <w:rsid w:val="00B958D0"/>
    <w:rsid w:val="00BB573F"/>
    <w:rsid w:val="00BC5470"/>
    <w:rsid w:val="00BF7CED"/>
    <w:rsid w:val="00C15C01"/>
    <w:rsid w:val="00C565C0"/>
    <w:rsid w:val="00C77FEC"/>
    <w:rsid w:val="00CA4D7B"/>
    <w:rsid w:val="00CC0094"/>
    <w:rsid w:val="00CD31D6"/>
    <w:rsid w:val="00CD528F"/>
    <w:rsid w:val="00D22F9B"/>
    <w:rsid w:val="00D45BCB"/>
    <w:rsid w:val="00D9258B"/>
    <w:rsid w:val="00DA00AE"/>
    <w:rsid w:val="00DA5D71"/>
    <w:rsid w:val="00E21294"/>
    <w:rsid w:val="00E414CA"/>
    <w:rsid w:val="00E43991"/>
    <w:rsid w:val="00E62623"/>
    <w:rsid w:val="00E90EA4"/>
    <w:rsid w:val="00E97480"/>
    <w:rsid w:val="00EC35AC"/>
    <w:rsid w:val="00F05A52"/>
    <w:rsid w:val="00F85B94"/>
    <w:rsid w:val="00F85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63D"/>
    <w:pPr>
      <w:widowControl w:val="0"/>
      <w:autoSpaceDE w:val="0"/>
      <w:autoSpaceDN w:val="0"/>
      <w:adjustRightInd w:val="0"/>
      <w:spacing w:after="0" w:line="240" w:lineRule="auto"/>
    </w:pPr>
    <w:rPr>
      <w:rFonts w:ascii="Arial" w:eastAsia="Times New Roman" w:hAnsi="Arial" w:cs="Arial"/>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00163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Default">
    <w:name w:val="Default"/>
    <w:rsid w:val="00CC009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Obiekt,List Paragraph1,Numerowanie,List Paragraph,Z lewej:  0,63 cm,Wysunięcie:  0,Akapit z listą1,Liste à puces retrait droite"/>
    <w:basedOn w:val="Normalny"/>
    <w:link w:val="AkapitzlistZnak"/>
    <w:uiPriority w:val="34"/>
    <w:qFormat/>
    <w:rsid w:val="00CC0094"/>
    <w:pPr>
      <w:ind w:left="720"/>
      <w:contextualSpacing/>
    </w:pPr>
  </w:style>
  <w:style w:type="paragraph" w:styleId="Tekstdymka">
    <w:name w:val="Balloon Text"/>
    <w:basedOn w:val="Normalny"/>
    <w:link w:val="TekstdymkaZnak"/>
    <w:uiPriority w:val="99"/>
    <w:semiHidden/>
    <w:unhideWhenUsed/>
    <w:rsid w:val="00213D22"/>
    <w:rPr>
      <w:rFonts w:ascii="Tahoma" w:hAnsi="Tahoma" w:cs="Tahoma"/>
      <w:sz w:val="16"/>
      <w:szCs w:val="16"/>
    </w:rPr>
  </w:style>
  <w:style w:type="character" w:customStyle="1" w:styleId="TekstdymkaZnak">
    <w:name w:val="Tekst dymka Znak"/>
    <w:basedOn w:val="Domylnaczcionkaakapitu"/>
    <w:link w:val="Tekstdymka"/>
    <w:uiPriority w:val="99"/>
    <w:semiHidden/>
    <w:rsid w:val="00213D22"/>
    <w:rPr>
      <w:rFonts w:ascii="Tahoma" w:eastAsia="Times New Roman" w:hAnsi="Tahoma" w:cs="Tahoma"/>
      <w:i/>
      <w:iCs/>
      <w:sz w:val="16"/>
      <w:szCs w:val="16"/>
      <w:lang w:eastAsia="pl-PL"/>
    </w:rPr>
  </w:style>
  <w:style w:type="paragraph" w:customStyle="1" w:styleId="Style12">
    <w:name w:val="Style12"/>
    <w:basedOn w:val="Normalny"/>
    <w:uiPriority w:val="99"/>
    <w:rsid w:val="00BC5470"/>
    <w:pPr>
      <w:spacing w:line="317" w:lineRule="exact"/>
      <w:ind w:firstLine="706"/>
      <w:jc w:val="both"/>
    </w:pPr>
    <w:rPr>
      <w:rFonts w:ascii="Times New Roman" w:hAnsi="Times New Roman" w:cs="Times New Roman"/>
      <w:i w:val="0"/>
      <w:iCs w:val="0"/>
      <w:sz w:val="24"/>
      <w:szCs w:val="24"/>
    </w:rPr>
  </w:style>
  <w:style w:type="paragraph" w:customStyle="1" w:styleId="Style6">
    <w:name w:val="Style6"/>
    <w:basedOn w:val="Normalny"/>
    <w:uiPriority w:val="99"/>
    <w:rsid w:val="00BC5470"/>
    <w:pPr>
      <w:spacing w:line="310" w:lineRule="exact"/>
      <w:ind w:hanging="346"/>
      <w:jc w:val="both"/>
    </w:pPr>
    <w:rPr>
      <w:rFonts w:ascii="Times New Roman" w:hAnsi="Times New Roman" w:cs="Times New Roman"/>
      <w:i w:val="0"/>
      <w:iCs w:val="0"/>
      <w:sz w:val="24"/>
      <w:szCs w:val="24"/>
    </w:rPr>
  </w:style>
  <w:style w:type="paragraph" w:customStyle="1" w:styleId="Style2">
    <w:name w:val="Style2"/>
    <w:basedOn w:val="Normalny"/>
    <w:uiPriority w:val="99"/>
    <w:rsid w:val="00BC5470"/>
    <w:pPr>
      <w:spacing w:line="259" w:lineRule="exact"/>
      <w:jc w:val="both"/>
    </w:pPr>
    <w:rPr>
      <w:rFonts w:ascii="Times New Roman" w:hAnsi="Times New Roman" w:cs="Times New Roman"/>
      <w:i w:val="0"/>
      <w:iCs w:val="0"/>
      <w:sz w:val="24"/>
      <w:szCs w:val="24"/>
    </w:rPr>
  </w:style>
  <w:style w:type="paragraph" w:customStyle="1" w:styleId="Style3">
    <w:name w:val="Style3"/>
    <w:basedOn w:val="Normalny"/>
    <w:uiPriority w:val="99"/>
    <w:rsid w:val="00BC5470"/>
    <w:rPr>
      <w:rFonts w:ascii="Times New Roman" w:hAnsi="Times New Roman" w:cs="Times New Roman"/>
      <w:i w:val="0"/>
      <w:iCs w:val="0"/>
      <w:sz w:val="24"/>
      <w:szCs w:val="24"/>
    </w:rPr>
  </w:style>
  <w:style w:type="character" w:customStyle="1" w:styleId="AkapitzlistZnak">
    <w:name w:val="Akapit z listą Znak"/>
    <w:aliases w:val="Obiekt Znak,List Paragraph1 Znak,Numerowanie Znak,List Paragraph Znak,Z lewej:  0 Znak,63 cm Znak,Wysunięcie:  0 Znak,Akapit z listą1 Znak,Liste à puces retrait droite Znak"/>
    <w:link w:val="Akapitzlist"/>
    <w:uiPriority w:val="34"/>
    <w:qFormat/>
    <w:rsid w:val="008409CE"/>
    <w:rPr>
      <w:rFonts w:ascii="Arial" w:eastAsia="Times New Roman" w:hAnsi="Arial" w:cs="Arial"/>
      <w:i/>
      <w:i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0FDB-8F9B-4AA6-99CD-8CDDD512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8660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zczarnuch</dc:creator>
  <cp:lastModifiedBy>Zaneta Czarnuch</cp:lastModifiedBy>
  <cp:revision>2</cp:revision>
  <cp:lastPrinted>2020-07-03T05:32:00Z</cp:lastPrinted>
  <dcterms:created xsi:type="dcterms:W3CDTF">2022-09-12T09:25:00Z</dcterms:created>
  <dcterms:modified xsi:type="dcterms:W3CDTF">2022-09-12T09:25:00Z</dcterms:modified>
</cp:coreProperties>
</file>