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B8" w:rsidRPr="00F21F53" w:rsidRDefault="004A2EB8" w:rsidP="004A2E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21F53">
        <w:rPr>
          <w:rFonts w:ascii="Times New Roman" w:hAnsi="Times New Roman" w:cs="Times New Roman"/>
          <w:color w:val="00000A"/>
        </w:rPr>
        <w:t>Załącznik Nr 1</w:t>
      </w:r>
    </w:p>
    <w:p w:rsidR="004A2EB8" w:rsidRPr="00F21F53" w:rsidRDefault="004A2EB8" w:rsidP="004A2E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21F53">
        <w:rPr>
          <w:rFonts w:ascii="Times New Roman" w:hAnsi="Times New Roman" w:cs="Times New Roman"/>
          <w:color w:val="00000A"/>
        </w:rPr>
        <w:t xml:space="preserve">do </w:t>
      </w:r>
      <w:r w:rsidR="00362916" w:rsidRPr="00F21F53">
        <w:rPr>
          <w:rFonts w:ascii="Times New Roman" w:hAnsi="Times New Roman" w:cs="Times New Roman"/>
          <w:color w:val="00000A"/>
        </w:rPr>
        <w:t>Z</w:t>
      </w:r>
      <w:r w:rsidRPr="00F21F53">
        <w:rPr>
          <w:rFonts w:ascii="Times New Roman" w:hAnsi="Times New Roman" w:cs="Times New Roman"/>
          <w:color w:val="00000A"/>
        </w:rPr>
        <w:t xml:space="preserve">arządzenia Nr </w:t>
      </w:r>
      <w:r w:rsidR="00D425F1" w:rsidRPr="00F21F53">
        <w:rPr>
          <w:rFonts w:ascii="Times New Roman" w:hAnsi="Times New Roman" w:cs="Times New Roman"/>
          <w:color w:val="00000A"/>
        </w:rPr>
        <w:t>1</w:t>
      </w:r>
      <w:r w:rsidR="00362916" w:rsidRPr="00F21F53">
        <w:rPr>
          <w:rFonts w:ascii="Times New Roman" w:hAnsi="Times New Roman" w:cs="Times New Roman"/>
          <w:color w:val="00000A"/>
        </w:rPr>
        <w:t>05</w:t>
      </w:r>
      <w:r w:rsidRPr="00F21F53">
        <w:rPr>
          <w:rFonts w:ascii="Times New Roman" w:hAnsi="Times New Roman" w:cs="Times New Roman"/>
          <w:color w:val="00000A"/>
        </w:rPr>
        <w:t>/2021</w:t>
      </w:r>
    </w:p>
    <w:p w:rsidR="004A2EB8" w:rsidRPr="00F21F53" w:rsidRDefault="00D425F1" w:rsidP="004A2E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F21F53">
        <w:rPr>
          <w:rFonts w:ascii="Times New Roman" w:hAnsi="Times New Roman" w:cs="Times New Roman"/>
          <w:color w:val="00000A"/>
        </w:rPr>
        <w:t>Wójta Gminy Kwidzyn</w:t>
      </w:r>
    </w:p>
    <w:p w:rsidR="004A2EB8" w:rsidRPr="00F21F53" w:rsidRDefault="004A2EB8" w:rsidP="004A2EB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F21F53">
        <w:rPr>
          <w:rFonts w:ascii="Times New Roman" w:hAnsi="Times New Roman" w:cs="Times New Roman"/>
          <w:color w:val="00000A"/>
        </w:rPr>
        <w:t>z dnia 9 września 2021 r.</w:t>
      </w:r>
    </w:p>
    <w:p w:rsidR="004A2EB8" w:rsidRDefault="004A2EB8" w:rsidP="004A2E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:rsidR="004A2EB8" w:rsidRDefault="004A2EB8" w:rsidP="007335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A2EB8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Założenia w zakresie prognozowania dochodów budżetowych na 2022 rok.</w:t>
      </w:r>
    </w:p>
    <w:p w:rsidR="004A2EB8" w:rsidRPr="004A2EB8" w:rsidRDefault="004A2EB8" w:rsidP="004A2E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A2EB8" w:rsidRPr="00ED4A31" w:rsidRDefault="004A2EB8" w:rsidP="005B0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D4A31">
        <w:rPr>
          <w:rFonts w:ascii="Times New Roman" w:hAnsi="Times New Roman" w:cs="Times New Roman"/>
          <w:color w:val="00000A"/>
          <w:sz w:val="24"/>
          <w:szCs w:val="24"/>
        </w:rPr>
        <w:t xml:space="preserve">Podstawą planowania dochodów na 2022 rok jest </w:t>
      </w:r>
      <w:r w:rsidRPr="00ED4A31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przewidywane wykonanie dochodów budżetowych w roku 2021.</w:t>
      </w:r>
    </w:p>
    <w:p w:rsidR="004A2EB8" w:rsidRPr="00ED4A31" w:rsidRDefault="004A2EB8" w:rsidP="005B0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4A31">
        <w:rPr>
          <w:rFonts w:ascii="Times New Roman" w:hAnsi="Times New Roman" w:cs="Times New Roman"/>
          <w:color w:val="00000A"/>
          <w:sz w:val="24"/>
          <w:szCs w:val="24"/>
        </w:rPr>
        <w:t xml:space="preserve">Szacowanie dochodów opierać się powinno na zasadach ostrożnościowych </w:t>
      </w:r>
      <w:r w:rsidR="0039420F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ED4A31">
        <w:rPr>
          <w:rFonts w:ascii="Times New Roman" w:hAnsi="Times New Roman" w:cs="Times New Roman"/>
          <w:color w:val="00000A"/>
          <w:sz w:val="24"/>
          <w:szCs w:val="24"/>
        </w:rPr>
        <w:t>i gruntownie uzasadnionych.</w:t>
      </w:r>
      <w:bookmarkStart w:id="0" w:name="_GoBack"/>
      <w:bookmarkEnd w:id="0"/>
    </w:p>
    <w:p w:rsidR="004A2EB8" w:rsidRPr="00ED4A31" w:rsidRDefault="004A2EB8" w:rsidP="005B0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4A31">
        <w:rPr>
          <w:rFonts w:ascii="Times New Roman" w:hAnsi="Times New Roman" w:cs="Times New Roman"/>
          <w:color w:val="00000A"/>
          <w:sz w:val="24"/>
          <w:szCs w:val="24"/>
        </w:rPr>
        <w:t>Przy ustalaniu poziomu dochodów na 2022 rok należy uwzględnić:</w:t>
      </w:r>
    </w:p>
    <w:p w:rsidR="004A2EB8" w:rsidRPr="00ED4A31" w:rsidRDefault="004A2EB8" w:rsidP="00ED4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4A31">
        <w:rPr>
          <w:rFonts w:ascii="Times New Roman" w:hAnsi="Times New Roman" w:cs="Times New Roman"/>
          <w:color w:val="00000A"/>
          <w:sz w:val="24"/>
          <w:szCs w:val="24"/>
        </w:rPr>
        <w:t>prognozy podstawowych wskaźników makroekonomicznych,</w:t>
      </w:r>
    </w:p>
    <w:p w:rsidR="004A2EB8" w:rsidRDefault="004A2EB8" w:rsidP="004A2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4A31">
        <w:rPr>
          <w:rFonts w:ascii="Times New Roman" w:hAnsi="Times New Roman" w:cs="Times New Roman"/>
          <w:color w:val="00000A"/>
          <w:sz w:val="24"/>
          <w:szCs w:val="24"/>
        </w:rPr>
        <w:t>przewidywane wykonanie dochodów budżetowych w roku 2021,</w:t>
      </w:r>
    </w:p>
    <w:p w:rsidR="004A2EB8" w:rsidRDefault="004A2EB8" w:rsidP="004A2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4A31">
        <w:rPr>
          <w:rFonts w:ascii="Times New Roman" w:hAnsi="Times New Roman" w:cs="Times New Roman"/>
          <w:color w:val="00000A"/>
          <w:sz w:val="24"/>
          <w:szCs w:val="24"/>
        </w:rPr>
        <w:t xml:space="preserve">informacje uzyskane z Ministerstwa Finansów, Pomorskiego Urzędu Wojewódzkiego </w:t>
      </w:r>
      <w:r w:rsidRPr="00ED4A31">
        <w:rPr>
          <w:rFonts w:ascii="Times New Roman" w:hAnsi="Times New Roman" w:cs="Times New Roman"/>
          <w:color w:val="00000A"/>
          <w:sz w:val="24"/>
          <w:szCs w:val="24"/>
        </w:rPr>
        <w:br/>
        <w:t>i Krajowego Biura Wyborczego o przyznanych kwotach subwencji i dotacji oraz prognozowanych wpływach z tytułu udziału w podatku dochodowym od osób fizycznych,</w:t>
      </w:r>
    </w:p>
    <w:p w:rsidR="004A2EB8" w:rsidRDefault="004A2EB8" w:rsidP="004A2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4A31">
        <w:rPr>
          <w:rFonts w:ascii="Times New Roman" w:hAnsi="Times New Roman" w:cs="Times New Roman"/>
          <w:color w:val="00000A"/>
          <w:sz w:val="24"/>
          <w:szCs w:val="24"/>
        </w:rPr>
        <w:t xml:space="preserve"> informacje urzędów skarbowych na temat przewidywanych dochodów,</w:t>
      </w:r>
    </w:p>
    <w:p w:rsidR="004A2EB8" w:rsidRDefault="004A2EB8" w:rsidP="004A2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planowane zmiany cen świadczonych usług,</w:t>
      </w:r>
    </w:p>
    <w:p w:rsidR="004A2EB8" w:rsidRDefault="004A2EB8" w:rsidP="004A2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przepisy podatkowe i prognozowane stawki podatków i opłat lokalnych,</w:t>
      </w:r>
    </w:p>
    <w:p w:rsidR="004A2EB8" w:rsidRDefault="004A2EB8" w:rsidP="004A2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 xml:space="preserve"> poziom windykacji zaległości podatkowych,</w:t>
      </w:r>
    </w:p>
    <w:p w:rsidR="004A2EB8" w:rsidRDefault="004A2EB8" w:rsidP="004A2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 xml:space="preserve">podjęte działania w celu pozyskiwania dodatkowych środków finansowych, w tym </w:t>
      </w:r>
      <w:r w:rsidR="005B02BD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39420F">
        <w:rPr>
          <w:rFonts w:ascii="Times New Roman" w:hAnsi="Times New Roman" w:cs="Times New Roman"/>
          <w:color w:val="00000A"/>
          <w:sz w:val="24"/>
          <w:szCs w:val="24"/>
        </w:rPr>
        <w:t>z Unii Europejskiej, budżetu Państwa, itp.</w:t>
      </w:r>
    </w:p>
    <w:p w:rsidR="004A2EB8" w:rsidRPr="0039420F" w:rsidRDefault="004A2EB8" w:rsidP="004A2E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planowane zmiany innych należności budżetowych wynikające ze zmieniających się przepisów.</w:t>
      </w:r>
    </w:p>
    <w:p w:rsidR="004A2EB8" w:rsidRPr="0039420F" w:rsidRDefault="004A2EB8" w:rsidP="005B0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Założony plan wpływów winien być realny do wykonania. Proponowane kwoty należy uzasadnić podając podstawę i przyczyny wzrostu lub zmniejszenia w stosunku do przewidywanego wykonania roku bieżącego.</w:t>
      </w:r>
    </w:p>
    <w:p w:rsidR="004A2EB8" w:rsidRPr="0039420F" w:rsidRDefault="004A2EB8" w:rsidP="005B0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Dochody bieżące należy prognozować w następujący sposób:</w:t>
      </w:r>
    </w:p>
    <w:p w:rsidR="004A2EB8" w:rsidRPr="0039420F" w:rsidRDefault="004A2EB8" w:rsidP="0039420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 xml:space="preserve">dotacje celowe na zadania własne i zadania zlecone z zakresu administracji rządowej – </w:t>
      </w:r>
      <w:r w:rsidRPr="0039420F">
        <w:rPr>
          <w:rFonts w:ascii="Times New Roman" w:hAnsi="Times New Roman" w:cs="Times New Roman"/>
          <w:color w:val="00000A"/>
          <w:sz w:val="24"/>
          <w:szCs w:val="24"/>
        </w:rPr>
        <w:br/>
        <w:t>w kwotach podanych przez Wojewodę Pomorskiego oraz Krajowe Biuro Wyborcze,</w:t>
      </w:r>
    </w:p>
    <w:p w:rsidR="007335A2" w:rsidRDefault="004A2EB8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subwencje</w:t>
      </w:r>
      <w:r w:rsidR="007335A2" w:rsidRPr="0039420F">
        <w:rPr>
          <w:rFonts w:ascii="Times New Roman" w:hAnsi="Times New Roman" w:cs="Times New Roman"/>
          <w:color w:val="00000A"/>
          <w:sz w:val="24"/>
          <w:szCs w:val="24"/>
        </w:rPr>
        <w:t xml:space="preserve"> w kwotach podanych przez Ministra Finansów,</w:t>
      </w:r>
    </w:p>
    <w:p w:rsidR="007335A2" w:rsidRDefault="007335A2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udział we wpływach z podatku dochodowego od osób fizycznych – w kwotach podanych przez Ministra Finansów,</w:t>
      </w:r>
    </w:p>
    <w:p w:rsidR="007335A2" w:rsidRDefault="007335A2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lastRenderedPageBreak/>
        <w:t>dotacje celowe (w tym pomoc finansowa) uzyskane od innych jednostek samorządu terytorialnego ujmuje się na podstawie obowiązujących zapisów porozumień i umów,</w:t>
      </w:r>
    </w:p>
    <w:p w:rsidR="007335A2" w:rsidRDefault="007335A2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 xml:space="preserve">dochody z podatków i opłat lokalnych zakładając wzrost obecnie obowiązujących stawek podatkowych zgodnie ze wskaźnikami wynikającymi z komunikatów Prezesa Głównego Urzędu Statystycznego i </w:t>
      </w:r>
      <w:proofErr w:type="spellStart"/>
      <w:r w:rsidRPr="0039420F">
        <w:rPr>
          <w:rFonts w:ascii="Times New Roman" w:hAnsi="Times New Roman" w:cs="Times New Roman"/>
          <w:color w:val="00000A"/>
          <w:sz w:val="24"/>
          <w:szCs w:val="24"/>
        </w:rPr>
        <w:t>Obwieszczeń</w:t>
      </w:r>
      <w:proofErr w:type="spellEnd"/>
      <w:r w:rsidRPr="0039420F">
        <w:rPr>
          <w:rFonts w:ascii="Times New Roman" w:hAnsi="Times New Roman" w:cs="Times New Roman"/>
          <w:color w:val="00000A"/>
          <w:sz w:val="24"/>
          <w:szCs w:val="24"/>
        </w:rPr>
        <w:t xml:space="preserve"> Ministra Finansów, uwzględniając wskaźnik ściągalności,</w:t>
      </w:r>
    </w:p>
    <w:p w:rsidR="007335A2" w:rsidRDefault="007335A2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dochody z tytułu opłaty za gospodarowanie odpadami komunalnymi szacować na podstawie obowiązujących stawek, uwzględniając wskaźnik ściągalności,</w:t>
      </w:r>
    </w:p>
    <w:p w:rsidR="007335A2" w:rsidRDefault="007335A2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dochody z majątku gminy szacować na podstawie wykazu mienia komunalnego przeznaczonego do sprzedaży w 2022 roku oraz planowanych przekształceń prawa użytkowania wieczystego w prawo własności,</w:t>
      </w:r>
    </w:p>
    <w:p w:rsidR="007335A2" w:rsidRPr="00D274E1" w:rsidRDefault="00D274E1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E1">
        <w:rPr>
          <w:rFonts w:ascii="Times New Roman" w:hAnsi="Times New Roman" w:cs="Times New Roman"/>
          <w:sz w:val="24"/>
          <w:szCs w:val="24"/>
        </w:rPr>
        <w:t xml:space="preserve">dochody z tytułu najmu, </w:t>
      </w:r>
      <w:r w:rsidR="007335A2" w:rsidRPr="00D274E1">
        <w:rPr>
          <w:rFonts w:ascii="Times New Roman" w:hAnsi="Times New Roman" w:cs="Times New Roman"/>
          <w:sz w:val="24"/>
          <w:szCs w:val="24"/>
        </w:rPr>
        <w:t xml:space="preserve">dzierżawy </w:t>
      </w:r>
      <w:r w:rsidRPr="00D274E1">
        <w:rPr>
          <w:rFonts w:ascii="Times New Roman" w:hAnsi="Times New Roman" w:cs="Times New Roman"/>
          <w:sz w:val="24"/>
          <w:szCs w:val="24"/>
        </w:rPr>
        <w:t>oraz za wieczyste użytkowanie na podstawie zawartych umów i wydanych decyzji,</w:t>
      </w:r>
    </w:p>
    <w:p w:rsidR="007335A2" w:rsidRDefault="007335A2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dochody z tytułu wydawania zezwoleń na sprzedaż alkoholu szacować należy na podstawie ilości zezwoleń na czas nieokreślony oraz przewidywanej ilości zezwoleń na sprzedaż jednorazową,</w:t>
      </w:r>
    </w:p>
    <w:p w:rsidR="007335A2" w:rsidRDefault="007335A2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zaliczki i refundacje ze środków Unii Europejskiej należy ustalić z uwzględnieniem planowanych terminów składania wniosków o płatność oraz wynikającego z umowy, czasu ich weryfikacji i poświadczenia przez Instytucję Zarządzającą,</w:t>
      </w:r>
    </w:p>
    <w:p w:rsidR="008E3F83" w:rsidRPr="0039420F" w:rsidRDefault="007335A2" w:rsidP="007335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9420F">
        <w:rPr>
          <w:rFonts w:ascii="Times New Roman" w:hAnsi="Times New Roman" w:cs="Times New Roman"/>
          <w:color w:val="00000A"/>
          <w:sz w:val="24"/>
          <w:szCs w:val="24"/>
        </w:rPr>
        <w:t>dochody z tytułu terminowego naliczania i wpłacania podatków (zaliczek) pobranych na rzecz budżetu Państwa w wysokości 0,3% kwoty podatków (zaliczek) oraz 0,1% kwoty prawidłowo wypłaconych świadczeń z ubezpieczenia społecznego w razie choroby i macierzyństwa</w:t>
      </w:r>
      <w:r w:rsidRPr="0039420F">
        <w:rPr>
          <w:rFonts w:ascii="TimesNewRomanPSMT" w:hAnsi="TimesNewRomanPSMT" w:cs="TimesNewRomanPSMT"/>
          <w:color w:val="00000A"/>
          <w:sz w:val="24"/>
          <w:szCs w:val="24"/>
        </w:rPr>
        <w:t>.</w:t>
      </w:r>
    </w:p>
    <w:sectPr w:rsidR="008E3F83" w:rsidRPr="0039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9B6"/>
    <w:multiLevelType w:val="hybridMultilevel"/>
    <w:tmpl w:val="868A02E8"/>
    <w:lvl w:ilvl="0" w:tplc="10107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2432"/>
    <w:multiLevelType w:val="hybridMultilevel"/>
    <w:tmpl w:val="DAA0DB32"/>
    <w:lvl w:ilvl="0" w:tplc="10107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74C"/>
    <w:multiLevelType w:val="hybridMultilevel"/>
    <w:tmpl w:val="8A66056E"/>
    <w:lvl w:ilvl="0" w:tplc="D0722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45A62"/>
    <w:multiLevelType w:val="hybridMultilevel"/>
    <w:tmpl w:val="21B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51"/>
    <w:rsid w:val="001D1A51"/>
    <w:rsid w:val="002568E6"/>
    <w:rsid w:val="00362916"/>
    <w:rsid w:val="0039420F"/>
    <w:rsid w:val="003E5925"/>
    <w:rsid w:val="004A2EB8"/>
    <w:rsid w:val="005B02BD"/>
    <w:rsid w:val="0068789D"/>
    <w:rsid w:val="007335A2"/>
    <w:rsid w:val="008E3F83"/>
    <w:rsid w:val="00993DF5"/>
    <w:rsid w:val="00AB7ED9"/>
    <w:rsid w:val="00B13CC9"/>
    <w:rsid w:val="00D274E1"/>
    <w:rsid w:val="00D425F1"/>
    <w:rsid w:val="00ED4A31"/>
    <w:rsid w:val="00F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Skrajda</dc:creator>
  <cp:keywords/>
  <dc:description/>
  <cp:lastModifiedBy>Iwona Skrajda</cp:lastModifiedBy>
  <cp:revision>13</cp:revision>
  <cp:lastPrinted>2021-09-07T13:24:00Z</cp:lastPrinted>
  <dcterms:created xsi:type="dcterms:W3CDTF">2021-09-07T12:24:00Z</dcterms:created>
  <dcterms:modified xsi:type="dcterms:W3CDTF">2021-09-09T09:00:00Z</dcterms:modified>
</cp:coreProperties>
</file>