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CAA" w:rsidRPr="00E86CAA" w:rsidRDefault="00E86CAA" w:rsidP="00E86CAA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E86CAA">
        <w:rPr>
          <w:rFonts w:ascii="Times New Roman" w:eastAsia="Times New Roman" w:hAnsi="Times New Roman" w:cs="Times New Roman"/>
          <w:szCs w:val="20"/>
          <w:lang w:eastAsia="pl-PL"/>
        </w:rPr>
        <w:t>GP.II 6733.</w:t>
      </w:r>
      <w:r w:rsidR="00CA351E">
        <w:rPr>
          <w:rFonts w:ascii="Times New Roman" w:eastAsia="Times New Roman" w:hAnsi="Times New Roman" w:cs="Times New Roman"/>
          <w:szCs w:val="20"/>
          <w:lang w:eastAsia="pl-PL"/>
        </w:rPr>
        <w:t>6</w:t>
      </w:r>
      <w:r w:rsidRPr="00E86CAA">
        <w:rPr>
          <w:rFonts w:ascii="Times New Roman" w:eastAsia="Times New Roman" w:hAnsi="Times New Roman" w:cs="Times New Roman"/>
          <w:szCs w:val="20"/>
          <w:lang w:eastAsia="pl-PL"/>
        </w:rPr>
        <w:t>.2012</w:t>
      </w:r>
    </w:p>
    <w:p w:rsidR="00E86CAA" w:rsidRPr="00E86CAA" w:rsidRDefault="00E86CAA" w:rsidP="00E86CAA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:rsidR="00E86CAA" w:rsidRPr="00E86CAA" w:rsidRDefault="00E86CAA" w:rsidP="00E86CA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E86CAA">
        <w:rPr>
          <w:rFonts w:ascii="Times New Roman" w:eastAsia="Times New Roman" w:hAnsi="Times New Roman" w:cs="Times New Roman"/>
          <w:b/>
          <w:szCs w:val="20"/>
          <w:lang w:eastAsia="pl-PL"/>
        </w:rPr>
        <w:t>ANALIZA UWARUNKOWAŃ DO DECYZJI O USTALENIE LOKALIZACJI INWESTYCJI CELU PUBLICZNEGO</w:t>
      </w:r>
    </w:p>
    <w:p w:rsidR="00E86CAA" w:rsidRPr="00E86CAA" w:rsidRDefault="00E86CAA" w:rsidP="00E86C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86CAA" w:rsidRPr="00E86CAA" w:rsidRDefault="00E86CAA" w:rsidP="00E86CAA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E86CAA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dla inwestycji polegającej na budowie </w:t>
      </w:r>
      <w:r w:rsidR="00CA351E">
        <w:rPr>
          <w:rFonts w:ascii="Times New Roman" w:eastAsia="Times New Roman" w:hAnsi="Times New Roman" w:cs="Times New Roman"/>
          <w:b/>
          <w:szCs w:val="20"/>
          <w:lang w:eastAsia="pl-PL"/>
        </w:rPr>
        <w:t>oświetlenia drogowego</w:t>
      </w:r>
      <w:r w:rsidRPr="00E86CAA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na </w:t>
      </w:r>
      <w:r w:rsidR="00CA351E">
        <w:rPr>
          <w:rFonts w:ascii="Times New Roman" w:eastAsia="Times New Roman" w:hAnsi="Times New Roman" w:cs="Times New Roman"/>
          <w:b/>
          <w:szCs w:val="20"/>
          <w:lang w:eastAsia="pl-PL"/>
        </w:rPr>
        <w:t>działkach</w:t>
      </w:r>
      <w:r w:rsidRPr="00E86CAA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oznaczon</w:t>
      </w:r>
      <w:r w:rsidR="00CA351E">
        <w:rPr>
          <w:rFonts w:ascii="Times New Roman" w:eastAsia="Times New Roman" w:hAnsi="Times New Roman" w:cs="Times New Roman"/>
          <w:b/>
          <w:szCs w:val="20"/>
          <w:lang w:eastAsia="pl-PL"/>
        </w:rPr>
        <w:t>ych</w:t>
      </w:r>
      <w:r w:rsidRPr="00E86CAA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nr</w:t>
      </w:r>
      <w:r w:rsidR="00CA351E">
        <w:rPr>
          <w:rFonts w:ascii="Times New Roman" w:eastAsia="Times New Roman" w:hAnsi="Times New Roman" w:cs="Times New Roman"/>
          <w:b/>
          <w:szCs w:val="20"/>
          <w:lang w:eastAsia="pl-PL"/>
        </w:rPr>
        <w:t>:</w:t>
      </w:r>
      <w:r w:rsidRPr="00E86CAA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</w:t>
      </w:r>
      <w:r w:rsidR="00CE2E5B">
        <w:rPr>
          <w:rFonts w:ascii="Times New Roman" w:eastAsia="Times New Roman" w:hAnsi="Times New Roman" w:cs="Times New Roman"/>
          <w:b/>
          <w:szCs w:val="20"/>
          <w:lang w:eastAsia="pl-PL"/>
        </w:rPr>
        <w:t>291/5 i 292/6</w:t>
      </w:r>
      <w:r w:rsidR="00CA351E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w </w:t>
      </w:r>
      <w:r w:rsidRPr="00E86CAA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miejscowości </w:t>
      </w:r>
      <w:r w:rsidR="00CA351E">
        <w:rPr>
          <w:rFonts w:ascii="Times New Roman" w:eastAsia="Times New Roman" w:hAnsi="Times New Roman" w:cs="Times New Roman"/>
          <w:b/>
          <w:szCs w:val="20"/>
          <w:lang w:eastAsia="pl-PL"/>
        </w:rPr>
        <w:t>Gilwa Mała, obręb geodezyjny Paczkowo</w:t>
      </w:r>
      <w:r w:rsidRPr="00E86CAA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, gmina Kwidzyn; </w:t>
      </w:r>
    </w:p>
    <w:p w:rsidR="00E86CAA" w:rsidRPr="00E86CAA" w:rsidRDefault="00E86CAA" w:rsidP="00E86C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86CAA" w:rsidRPr="00E86CAA" w:rsidRDefault="00E86CAA" w:rsidP="00E86CA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pl-PL"/>
        </w:rPr>
      </w:pPr>
      <w:r w:rsidRPr="00E86CAA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Obowiązek sporządzenia MPZP </w:t>
      </w:r>
      <w:r w:rsidRPr="00E86CAA">
        <w:rPr>
          <w:rFonts w:ascii="Times New Roman" w:eastAsia="Times New Roman" w:hAnsi="Times New Roman" w:cs="Times New Roman"/>
          <w:szCs w:val="20"/>
          <w:lang w:eastAsia="pl-PL"/>
        </w:rPr>
        <w:t>(art. 62 ust. 2):</w:t>
      </w:r>
      <w:r w:rsidRPr="00E86CAA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</w:t>
      </w:r>
      <w:r w:rsidRPr="00E86CAA">
        <w:rPr>
          <w:rFonts w:ascii="Times New Roman" w:eastAsia="Times New Roman" w:hAnsi="Times New Roman" w:cs="Times New Roman"/>
          <w:szCs w:val="20"/>
          <w:lang w:eastAsia="pl-PL"/>
        </w:rPr>
        <w:t>nie dotyczy wnioskowanej inwestycji</w:t>
      </w:r>
      <w:r w:rsidRPr="00E86CAA">
        <w:rPr>
          <w:rFonts w:ascii="Times New Roman" w:eastAsia="Times New Roman" w:hAnsi="Times New Roman" w:cs="Times New Roman"/>
          <w:i/>
          <w:szCs w:val="20"/>
          <w:lang w:eastAsia="pl-PL"/>
        </w:rPr>
        <w:t xml:space="preserve"> (art. 10 ust. 2 pkt 8 ustawy o p. i z. p.,  art. 7 ust. 1 ustawy o ochronie gruntów rolnych i leśnych, art. 53 prawa geologicznego i górniczego).</w:t>
      </w:r>
    </w:p>
    <w:p w:rsidR="00E86CAA" w:rsidRPr="00E86CAA" w:rsidRDefault="00E86CAA" w:rsidP="00E86CA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pl-PL"/>
        </w:rPr>
      </w:pPr>
      <w:r w:rsidRPr="00E86CAA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Cel publiczny ponadlokalny </w:t>
      </w:r>
      <w:r w:rsidRPr="00E86CAA">
        <w:rPr>
          <w:rFonts w:ascii="Times New Roman" w:eastAsia="Times New Roman" w:hAnsi="Times New Roman" w:cs="Times New Roman"/>
          <w:szCs w:val="20"/>
          <w:lang w:eastAsia="pl-PL"/>
        </w:rPr>
        <w:t>(art. 53 ust. 4 pkt 10 ustawy o planowaniu i zagospodarowaniu przestrzennym): nie dotyczy wnioskowanej inwestycji.</w:t>
      </w:r>
      <w:r w:rsidRPr="00E86CAA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</w:t>
      </w:r>
    </w:p>
    <w:p w:rsidR="00E86CAA" w:rsidRPr="00E86CAA" w:rsidRDefault="00E86CAA" w:rsidP="00E86CA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86CAA">
        <w:rPr>
          <w:rFonts w:ascii="Times New Roman" w:eastAsia="Times New Roman" w:hAnsi="Times New Roman" w:cs="Times New Roman"/>
          <w:b/>
          <w:lang w:eastAsia="pl-PL"/>
        </w:rPr>
        <w:t xml:space="preserve">Dostęp do drogi publicznej </w:t>
      </w:r>
      <w:r w:rsidRPr="00E86CAA">
        <w:rPr>
          <w:rFonts w:ascii="Times New Roman" w:eastAsia="Times New Roman" w:hAnsi="Times New Roman" w:cs="Times New Roman"/>
          <w:lang w:eastAsia="pl-PL"/>
        </w:rPr>
        <w:t>(art. 61 ust 1 pkt 2)</w:t>
      </w:r>
      <w:r w:rsidRPr="00E86CAA">
        <w:rPr>
          <w:rFonts w:ascii="Times New Roman" w:eastAsia="Times New Roman" w:hAnsi="Times New Roman" w:cs="Times New Roman"/>
          <w:b/>
          <w:lang w:eastAsia="pl-PL"/>
        </w:rPr>
        <w:t>:</w:t>
      </w:r>
      <w:r w:rsidRPr="00E86CAA">
        <w:rPr>
          <w:rFonts w:ascii="Times New Roman" w:eastAsia="Times New Roman" w:hAnsi="Times New Roman" w:cs="Times New Roman"/>
          <w:lang w:eastAsia="pl-PL"/>
        </w:rPr>
        <w:t xml:space="preserve"> wnioskowany teren dotyczy drogi </w:t>
      </w:r>
      <w:r w:rsidR="00CE2E5B">
        <w:rPr>
          <w:rFonts w:ascii="Times New Roman" w:eastAsia="Times New Roman" w:hAnsi="Times New Roman" w:cs="Times New Roman"/>
          <w:lang w:eastAsia="pl-PL"/>
        </w:rPr>
        <w:t>Nadleśnictwa Kwidzyn</w:t>
      </w:r>
    </w:p>
    <w:p w:rsidR="00E86CAA" w:rsidRPr="00E86CAA" w:rsidRDefault="00E86CAA" w:rsidP="00E86CA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86CAA">
        <w:rPr>
          <w:rFonts w:ascii="Times New Roman" w:eastAsia="Times New Roman" w:hAnsi="Times New Roman" w:cs="Times New Roman"/>
          <w:b/>
          <w:lang w:eastAsia="pl-PL"/>
        </w:rPr>
        <w:t xml:space="preserve">Uzbrojenie terenu </w:t>
      </w:r>
      <w:r w:rsidRPr="00E86CAA">
        <w:rPr>
          <w:rFonts w:ascii="Times New Roman" w:eastAsia="Times New Roman" w:hAnsi="Times New Roman" w:cs="Times New Roman"/>
          <w:lang w:eastAsia="pl-PL"/>
        </w:rPr>
        <w:t>(art. 61 ust 1 pkt 3)</w:t>
      </w:r>
      <w:r w:rsidRPr="00E86CAA">
        <w:rPr>
          <w:rFonts w:ascii="Times New Roman" w:eastAsia="Times New Roman" w:hAnsi="Times New Roman" w:cs="Times New Roman"/>
          <w:b/>
          <w:lang w:eastAsia="pl-PL"/>
        </w:rPr>
        <w:t>:</w:t>
      </w:r>
      <w:r w:rsidRPr="00E86CAA">
        <w:rPr>
          <w:rFonts w:ascii="Times New Roman" w:eastAsia="Times New Roman" w:hAnsi="Times New Roman" w:cs="Times New Roman"/>
          <w:lang w:eastAsia="pl-PL"/>
        </w:rPr>
        <w:t xml:space="preserve"> w bezpośrednim sąsiedztwie wnioskowanego terenu znajduje się istniejące uzbrojenie w zakresie: nie dotyczy.</w:t>
      </w:r>
    </w:p>
    <w:p w:rsidR="00E86CAA" w:rsidRPr="00E86CAA" w:rsidRDefault="00E86CAA" w:rsidP="00E86CA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86CAA">
        <w:rPr>
          <w:rFonts w:ascii="Times New Roman" w:eastAsia="Times New Roman" w:hAnsi="Times New Roman" w:cs="Times New Roman"/>
          <w:b/>
          <w:lang w:eastAsia="pl-PL"/>
        </w:rPr>
        <w:t xml:space="preserve">Wymagania w zakresie ochrony gruntów rolnych i leśnych </w:t>
      </w:r>
      <w:r w:rsidRPr="00E86CAA">
        <w:rPr>
          <w:rFonts w:ascii="Times New Roman" w:eastAsia="Times New Roman" w:hAnsi="Times New Roman" w:cs="Times New Roman"/>
          <w:lang w:eastAsia="pl-PL"/>
        </w:rPr>
        <w:t>(art. 61 ust. 1 pkt 4): nie dotyczy,</w:t>
      </w:r>
    </w:p>
    <w:p w:rsidR="00E86CAA" w:rsidRPr="00E86CAA" w:rsidRDefault="00E86CAA" w:rsidP="00E86CA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E86CAA">
        <w:rPr>
          <w:rFonts w:ascii="Times New Roman" w:eastAsia="Times New Roman" w:hAnsi="Times New Roman" w:cs="Times New Roman"/>
          <w:b/>
          <w:lang w:eastAsia="pl-PL"/>
        </w:rPr>
        <w:t xml:space="preserve">Warunki wynikające z przepisów odrębnych </w:t>
      </w:r>
      <w:r w:rsidRPr="00E86CAA">
        <w:rPr>
          <w:rFonts w:ascii="Times New Roman" w:eastAsia="Times New Roman" w:hAnsi="Times New Roman" w:cs="Times New Roman"/>
          <w:lang w:eastAsia="pl-PL"/>
        </w:rPr>
        <w:t xml:space="preserve">(art. 53 ust. 3 pkt 1): </w:t>
      </w:r>
      <w:r w:rsidRPr="00E86CAA">
        <w:rPr>
          <w:rFonts w:ascii="Times New Roman" w:eastAsia="Times New Roman" w:hAnsi="Times New Roman" w:cs="Times New Roman"/>
          <w:i/>
          <w:lang w:eastAsia="pl-PL"/>
        </w:rPr>
        <w:t xml:space="preserve"> </w:t>
      </w:r>
    </w:p>
    <w:p w:rsidR="00E86CAA" w:rsidRPr="00E86CAA" w:rsidRDefault="00E86CAA" w:rsidP="00E86CA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  <w:r w:rsidRPr="00E86CAA">
        <w:rPr>
          <w:rFonts w:ascii="Times New Roman" w:eastAsia="Times New Roman" w:hAnsi="Times New Roman" w:cs="Times New Roman"/>
          <w:lang w:eastAsia="pl-PL"/>
        </w:rPr>
        <w:t xml:space="preserve">warunki wynikające z przepisów o ochronie środowiska: wg rozporządzenia Rady Ministrów        z dnia 9 listopada 2010r. w sprawie przedsięwzięć mogących znacząco oddziaływać                           na środowisko (Dz. U. Nr 213, poz. 1397) inwestycja </w:t>
      </w:r>
      <w:r w:rsidRPr="00E86CAA">
        <w:rPr>
          <w:rFonts w:ascii="Times New Roman" w:eastAsia="Times New Roman" w:hAnsi="Times New Roman" w:cs="Times New Roman"/>
          <w:i/>
          <w:lang w:eastAsia="pl-PL"/>
        </w:rPr>
        <w:t>nie zalicza się</w:t>
      </w:r>
      <w:r w:rsidRPr="00E86CAA">
        <w:rPr>
          <w:rFonts w:ascii="Times New Roman" w:eastAsia="Times New Roman" w:hAnsi="Times New Roman" w:cs="Times New Roman"/>
          <w:lang w:eastAsia="pl-PL"/>
        </w:rPr>
        <w:t xml:space="preserve"> do grupy przedsięwzięć mogących znacząco oddziaływać na środowisko; </w:t>
      </w:r>
    </w:p>
    <w:p w:rsidR="00E86CAA" w:rsidRPr="00E86CAA" w:rsidRDefault="00E86CAA" w:rsidP="00CE2E5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E86CAA">
        <w:rPr>
          <w:rFonts w:ascii="Times New Roman" w:eastAsia="Times New Roman" w:hAnsi="Times New Roman" w:cs="Times New Roman"/>
          <w:szCs w:val="20"/>
          <w:lang w:eastAsia="pl-PL"/>
        </w:rPr>
        <w:t xml:space="preserve">warunki wynikające z przepisów o ochronie przyrody: </w:t>
      </w:r>
      <w:r w:rsidR="00CE2E5B">
        <w:rPr>
          <w:rFonts w:ascii="Times New Roman" w:eastAsia="Times New Roman" w:hAnsi="Times New Roman" w:cs="Times New Roman"/>
          <w:szCs w:val="20"/>
          <w:lang w:eastAsia="pl-PL"/>
        </w:rPr>
        <w:t>Morawski Obszar Chronionego Krajobrazu</w:t>
      </w:r>
      <w:r w:rsidRPr="00E86CAA">
        <w:rPr>
          <w:rFonts w:ascii="Times New Roman" w:eastAsia="Times New Roman" w:hAnsi="Times New Roman" w:cs="Times New Roman"/>
          <w:szCs w:val="20"/>
          <w:lang w:eastAsia="pl-PL"/>
        </w:rPr>
        <w:t>,</w:t>
      </w:r>
    </w:p>
    <w:p w:rsidR="00E86CAA" w:rsidRPr="00E86CAA" w:rsidRDefault="00E86CAA" w:rsidP="00E86CA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86CAA">
        <w:rPr>
          <w:rFonts w:ascii="Times New Roman" w:eastAsia="Times New Roman" w:hAnsi="Times New Roman" w:cs="Times New Roman"/>
          <w:szCs w:val="20"/>
          <w:lang w:eastAsia="pl-PL"/>
        </w:rPr>
        <w:t>warunki wynikające z przepisów o ochronie dóbr kultury: nie dotyczy</w:t>
      </w:r>
      <w:r w:rsidRPr="00E86CAA">
        <w:rPr>
          <w:rFonts w:ascii="Times New Roman" w:eastAsia="Times New Roman" w:hAnsi="Times New Roman" w:cs="Times New Roman"/>
          <w:lang w:eastAsia="pl-PL"/>
        </w:rPr>
        <w:t xml:space="preserve">, </w:t>
      </w:r>
    </w:p>
    <w:p w:rsidR="00E86CAA" w:rsidRPr="00E86CAA" w:rsidRDefault="00E86CAA" w:rsidP="00E86CA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szCs w:val="20"/>
          <w:lang w:eastAsia="pl-PL"/>
        </w:rPr>
      </w:pPr>
      <w:r w:rsidRPr="00E86CAA">
        <w:rPr>
          <w:rFonts w:ascii="Times New Roman" w:eastAsia="Times New Roman" w:hAnsi="Times New Roman" w:cs="Times New Roman"/>
          <w:szCs w:val="20"/>
          <w:lang w:eastAsia="pl-PL"/>
        </w:rPr>
        <w:t>warunki wynikające z przepisów prawa wodnego: nie dotyczy,</w:t>
      </w:r>
    </w:p>
    <w:p w:rsidR="00E86CAA" w:rsidRPr="00E86CAA" w:rsidRDefault="00E86CAA" w:rsidP="00E86CA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szCs w:val="20"/>
          <w:lang w:eastAsia="pl-PL"/>
        </w:rPr>
      </w:pPr>
      <w:r w:rsidRPr="00E86CAA">
        <w:rPr>
          <w:rFonts w:ascii="Times New Roman" w:eastAsia="Times New Roman" w:hAnsi="Times New Roman" w:cs="Times New Roman"/>
          <w:szCs w:val="20"/>
          <w:lang w:eastAsia="pl-PL"/>
        </w:rPr>
        <w:t xml:space="preserve">warunki wynikające z innych przepisów </w:t>
      </w:r>
      <w:r w:rsidRPr="00E86CAA">
        <w:rPr>
          <w:rFonts w:ascii="Times New Roman" w:eastAsia="Times New Roman" w:hAnsi="Times New Roman" w:cs="Times New Roman"/>
          <w:i/>
          <w:szCs w:val="20"/>
          <w:lang w:eastAsia="pl-PL"/>
        </w:rPr>
        <w:t>(w tym z art. 53 ust. 4 pkt 1, 3, 4 i 5)</w:t>
      </w:r>
      <w:r w:rsidRPr="00E86CAA">
        <w:rPr>
          <w:rFonts w:ascii="Times New Roman" w:eastAsia="Times New Roman" w:hAnsi="Times New Roman" w:cs="Times New Roman"/>
          <w:szCs w:val="20"/>
          <w:lang w:eastAsia="pl-PL"/>
        </w:rPr>
        <w:t xml:space="preserve">: nie dotyczy. </w:t>
      </w:r>
    </w:p>
    <w:p w:rsidR="00E86CAA" w:rsidRPr="00E86CAA" w:rsidRDefault="00E86CAA" w:rsidP="00E86CA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Cs w:val="20"/>
          <w:lang w:eastAsia="pl-PL"/>
        </w:rPr>
      </w:pPr>
      <w:r w:rsidRPr="00E86CAA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Stan prawny terenu </w:t>
      </w:r>
      <w:r w:rsidRPr="00E86CAA">
        <w:rPr>
          <w:rFonts w:ascii="Times New Roman" w:eastAsia="Times New Roman" w:hAnsi="Times New Roman" w:cs="Times New Roman"/>
          <w:szCs w:val="20"/>
          <w:lang w:eastAsia="pl-PL"/>
        </w:rPr>
        <w:t xml:space="preserve">(art. 53 ust. 3 pkt 2): działki stanowiące własność </w:t>
      </w:r>
      <w:r w:rsidR="00CE2E5B">
        <w:rPr>
          <w:rFonts w:ascii="Times New Roman" w:eastAsia="Times New Roman" w:hAnsi="Times New Roman" w:cs="Times New Roman"/>
          <w:szCs w:val="20"/>
          <w:lang w:eastAsia="pl-PL"/>
        </w:rPr>
        <w:t xml:space="preserve">Skarbu Państwa: ANR                </w:t>
      </w:r>
      <w:bookmarkStart w:id="0" w:name="_GoBack"/>
      <w:bookmarkEnd w:id="0"/>
      <w:r w:rsidR="00CE2E5B">
        <w:rPr>
          <w:rFonts w:ascii="Times New Roman" w:eastAsia="Times New Roman" w:hAnsi="Times New Roman" w:cs="Times New Roman"/>
          <w:szCs w:val="20"/>
          <w:lang w:eastAsia="pl-PL"/>
        </w:rPr>
        <w:t>i Lasów Państwowych.</w:t>
      </w:r>
    </w:p>
    <w:p w:rsidR="00E86CAA" w:rsidRPr="00E86CAA" w:rsidRDefault="00E86CAA" w:rsidP="00E86CA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Cs w:val="20"/>
          <w:lang w:eastAsia="pl-PL"/>
        </w:rPr>
      </w:pPr>
      <w:r w:rsidRPr="00E86CAA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86CAA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Stan faktyczny terenu </w:t>
      </w:r>
      <w:r w:rsidRPr="00E86CAA">
        <w:rPr>
          <w:rFonts w:ascii="Times New Roman" w:eastAsia="Times New Roman" w:hAnsi="Times New Roman" w:cs="Times New Roman"/>
          <w:szCs w:val="20"/>
          <w:lang w:eastAsia="pl-PL"/>
        </w:rPr>
        <w:t>(art. 53 ust. 3 pkt 2):</w:t>
      </w:r>
      <w:r w:rsidRPr="00E86CAA">
        <w:rPr>
          <w:rFonts w:ascii="Times New Roman" w:eastAsia="Times New Roman" w:hAnsi="Times New Roman" w:cs="Times New Roman"/>
          <w:i/>
          <w:szCs w:val="20"/>
          <w:lang w:eastAsia="pl-PL"/>
        </w:rPr>
        <w:t xml:space="preserve"> </w:t>
      </w:r>
      <w:r w:rsidR="00CE2E5B">
        <w:rPr>
          <w:rFonts w:ascii="Times New Roman" w:eastAsia="Times New Roman" w:hAnsi="Times New Roman" w:cs="Times New Roman"/>
          <w:i/>
          <w:szCs w:val="20"/>
          <w:lang w:eastAsia="pl-PL"/>
        </w:rPr>
        <w:t xml:space="preserve">droga wewnętrzna oraz </w:t>
      </w:r>
      <w:proofErr w:type="spellStart"/>
      <w:r w:rsidR="00CE2E5B">
        <w:rPr>
          <w:rFonts w:ascii="Times New Roman" w:eastAsia="Times New Roman" w:hAnsi="Times New Roman" w:cs="Times New Roman"/>
          <w:i/>
          <w:szCs w:val="20"/>
          <w:lang w:eastAsia="pl-PL"/>
        </w:rPr>
        <w:t>Tr</w:t>
      </w:r>
      <w:proofErr w:type="spellEnd"/>
      <w:r w:rsidR="00CE2E5B">
        <w:rPr>
          <w:rFonts w:ascii="Times New Roman" w:eastAsia="Times New Roman" w:hAnsi="Times New Roman" w:cs="Times New Roman"/>
          <w:i/>
          <w:szCs w:val="20"/>
          <w:lang w:eastAsia="pl-PL"/>
        </w:rPr>
        <w:t xml:space="preserve"> – tereny różne</w:t>
      </w:r>
    </w:p>
    <w:p w:rsidR="00E86CAA" w:rsidRPr="00E86CAA" w:rsidRDefault="00E86CAA" w:rsidP="00E86CA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Cs w:val="20"/>
          <w:lang w:eastAsia="pl-PL"/>
        </w:rPr>
      </w:pPr>
      <w:r w:rsidRPr="00E86CAA">
        <w:rPr>
          <w:rFonts w:ascii="Times New Roman" w:eastAsia="Times New Roman" w:hAnsi="Times New Roman" w:cs="Times New Roman"/>
          <w:b/>
          <w:color w:val="000000"/>
          <w:szCs w:val="20"/>
          <w:lang w:eastAsia="pl-PL"/>
        </w:rPr>
        <w:t xml:space="preserve">Obszar analizowany - wnioski </w:t>
      </w:r>
      <w:r w:rsidRPr="00E86CAA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 xml:space="preserve">(§ 3 rozporządzenia Ministra Infrastruktury z dnia 26 sierpnia 2003r., Dz. U. Nr 164, poz. 1588): </w:t>
      </w:r>
    </w:p>
    <w:p w:rsidR="00E86CAA" w:rsidRPr="00E86CAA" w:rsidRDefault="00E86CAA" w:rsidP="00E86CA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pl-PL"/>
        </w:rPr>
      </w:pPr>
      <w:r w:rsidRPr="00E86CAA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przedmiot wniosku nie mieści się w zakresie objętym przepisami rozporządzenia Ministra Infrastruktury z dnia 26 sierpnia 2003r. w sprawie sposobu ustalenia wymagań dla nowej zabudowy (Dz. U. Nr 164, poz. 1588): mamy bowiem do czynienia z urządzeniami infrastruktury technicznej (art. 61 ust. 3 ustawy o planowaniu i zagospodarowaniu przestrzennym)</w:t>
      </w:r>
    </w:p>
    <w:p w:rsidR="00E86CAA" w:rsidRPr="00E86CAA" w:rsidRDefault="00E86CAA" w:rsidP="00E86CA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pl-PL"/>
        </w:rPr>
      </w:pPr>
      <w:r w:rsidRPr="00E86CAA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na skutek uwarunkowań wymienionych powyżej nie ma podstawy do wyznaczenia obszaru analizowanego, do niniejszej analizy nie załącza się więc rysunku (obszaru analizowanego).</w:t>
      </w:r>
    </w:p>
    <w:p w:rsidR="00E86CAA" w:rsidRPr="00E86CAA" w:rsidRDefault="00E86CAA" w:rsidP="00E86CAA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Cs w:val="20"/>
          <w:lang w:eastAsia="pl-PL"/>
        </w:rPr>
      </w:pPr>
      <w:r w:rsidRPr="00E86CAA">
        <w:rPr>
          <w:rFonts w:ascii="Times New Roman" w:eastAsia="Times New Roman" w:hAnsi="Times New Roman" w:cs="Times New Roman"/>
          <w:szCs w:val="20"/>
          <w:lang w:eastAsia="pl-PL"/>
        </w:rPr>
        <w:t xml:space="preserve">      </w:t>
      </w:r>
    </w:p>
    <w:p w:rsidR="00E86CAA" w:rsidRPr="00E86CAA" w:rsidRDefault="00E86CAA" w:rsidP="00E86CAA">
      <w:pPr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6CAA">
        <w:rPr>
          <w:rFonts w:ascii="Times New Roman" w:eastAsia="Times New Roman" w:hAnsi="Times New Roman" w:cs="Times New Roman"/>
          <w:szCs w:val="20"/>
          <w:lang w:eastAsia="pl-PL"/>
        </w:rPr>
        <w:t xml:space="preserve"> Analizę sporządzono w Urzędzie Gminy Kwidzyn</w:t>
      </w:r>
    </w:p>
    <w:p w:rsidR="00E86CAA" w:rsidRPr="00E86CAA" w:rsidRDefault="00E86CAA" w:rsidP="00E86C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86CAA" w:rsidRPr="00E86CAA" w:rsidRDefault="00E86CAA" w:rsidP="00E86C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86CAA" w:rsidRPr="00E86CAA" w:rsidRDefault="00E86CAA" w:rsidP="00E86C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86CAA" w:rsidRPr="00E86CAA" w:rsidRDefault="00E86CAA" w:rsidP="00E86C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86CAA" w:rsidRPr="00E86CAA" w:rsidRDefault="00E86CAA" w:rsidP="00E86C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86CAA" w:rsidRPr="00E86CAA" w:rsidRDefault="00E86CAA" w:rsidP="00E86C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F6E7C" w:rsidRDefault="005F6E7C"/>
    <w:sectPr w:rsidR="005F6E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D1B39"/>
    <w:multiLevelType w:val="singleLevel"/>
    <w:tmpl w:val="065C3C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">
    <w:nsid w:val="23E23F4A"/>
    <w:multiLevelType w:val="hybridMultilevel"/>
    <w:tmpl w:val="B8F08716"/>
    <w:lvl w:ilvl="0" w:tplc="C0DE93F6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F33AD9"/>
    <w:multiLevelType w:val="singleLevel"/>
    <w:tmpl w:val="66FEB2E2"/>
    <w:lvl w:ilvl="0">
      <w:start w:val="1"/>
      <w:numFmt w:val="decimal"/>
      <w:lvlText w:val="%1)"/>
      <w:lvlJc w:val="left"/>
      <w:pPr>
        <w:tabs>
          <w:tab w:val="num" w:pos="709"/>
        </w:tabs>
        <w:ind w:left="709" w:hanging="360"/>
      </w:pPr>
      <w:rPr>
        <w:color w:val="auto"/>
      </w:rPr>
    </w:lvl>
  </w:abstractNum>
  <w:num w:numId="1">
    <w:abstractNumId w:val="0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CAA"/>
    <w:rsid w:val="005F6E7C"/>
    <w:rsid w:val="00CA351E"/>
    <w:rsid w:val="00CE2E5B"/>
    <w:rsid w:val="00E8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376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rpaziewski</dc:creator>
  <cp:lastModifiedBy>rpaziewski</cp:lastModifiedBy>
  <cp:revision>1</cp:revision>
  <dcterms:created xsi:type="dcterms:W3CDTF">2012-06-19T09:42:00Z</dcterms:created>
  <dcterms:modified xsi:type="dcterms:W3CDTF">2012-06-19T10:16:00Z</dcterms:modified>
</cp:coreProperties>
</file>