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24CB0" w14:textId="4AFC515A" w:rsidR="0000163D" w:rsidRPr="0036698F" w:rsidRDefault="00A06B09" w:rsidP="0000163D">
      <w:pPr>
        <w:shd w:val="clear" w:color="auto" w:fill="FFFFFF"/>
        <w:tabs>
          <w:tab w:val="left" w:pos="2268"/>
          <w:tab w:val="left" w:pos="5387"/>
          <w:tab w:val="left" w:pos="6804"/>
          <w:tab w:val="left" w:pos="6946"/>
        </w:tabs>
        <w:spacing w:line="276" w:lineRule="auto"/>
        <w:ind w:left="5387"/>
        <w:rPr>
          <w:rFonts w:ascii="Calibri" w:hAnsi="Calibri"/>
          <w:b/>
          <w:i w:val="0"/>
          <w:iCs w:val="0"/>
          <w:sz w:val="22"/>
          <w:szCs w:val="22"/>
        </w:rPr>
      </w:pPr>
      <w:r>
        <w:rPr>
          <w:rFonts w:ascii="Calibri" w:hAnsi="Calibri"/>
          <w:b/>
          <w:i w:val="0"/>
          <w:iCs w:val="0"/>
          <w:sz w:val="22"/>
          <w:szCs w:val="22"/>
        </w:rPr>
        <w:t xml:space="preserve">Załącznik </w:t>
      </w:r>
      <w:r w:rsidR="0000163D" w:rsidRPr="0036698F">
        <w:rPr>
          <w:rFonts w:ascii="Calibri" w:hAnsi="Calibri"/>
          <w:b/>
          <w:i w:val="0"/>
          <w:iCs w:val="0"/>
          <w:sz w:val="22"/>
          <w:szCs w:val="22"/>
        </w:rPr>
        <w:t>do decyzji o środowiskowy</w:t>
      </w:r>
      <w:r w:rsidR="009C117B">
        <w:rPr>
          <w:rFonts w:ascii="Calibri" w:hAnsi="Calibri"/>
          <w:b/>
          <w:i w:val="0"/>
          <w:iCs w:val="0"/>
          <w:sz w:val="22"/>
          <w:szCs w:val="22"/>
        </w:rPr>
        <w:t>ch uwarunkowaniach OŚiGW.6220.</w:t>
      </w:r>
      <w:r w:rsidR="005B296D">
        <w:rPr>
          <w:rFonts w:ascii="Calibri" w:hAnsi="Calibri"/>
          <w:b/>
          <w:i w:val="0"/>
          <w:iCs w:val="0"/>
          <w:sz w:val="22"/>
          <w:szCs w:val="22"/>
        </w:rPr>
        <w:t>13</w:t>
      </w:r>
      <w:r w:rsidR="009C117B">
        <w:rPr>
          <w:rFonts w:ascii="Calibri" w:hAnsi="Calibri"/>
          <w:b/>
          <w:i w:val="0"/>
          <w:iCs w:val="0"/>
          <w:sz w:val="22"/>
          <w:szCs w:val="22"/>
        </w:rPr>
        <w:t>.20</w:t>
      </w:r>
      <w:r w:rsidR="0084654B">
        <w:rPr>
          <w:rFonts w:ascii="Calibri" w:hAnsi="Calibri"/>
          <w:b/>
          <w:i w:val="0"/>
          <w:iCs w:val="0"/>
          <w:sz w:val="22"/>
          <w:szCs w:val="22"/>
        </w:rPr>
        <w:t>21</w:t>
      </w:r>
    </w:p>
    <w:p w14:paraId="0E84D2DC" w14:textId="77777777" w:rsidR="0000163D" w:rsidRPr="0036698F" w:rsidRDefault="0000163D" w:rsidP="0000163D">
      <w:pPr>
        <w:shd w:val="clear" w:color="auto" w:fill="FFFFFF"/>
        <w:tabs>
          <w:tab w:val="left" w:pos="2268"/>
          <w:tab w:val="left" w:pos="6804"/>
          <w:tab w:val="left" w:pos="6946"/>
        </w:tabs>
        <w:spacing w:before="394"/>
        <w:rPr>
          <w:rFonts w:ascii="Calibri" w:hAnsi="Calibri"/>
          <w:b/>
          <w:i w:val="0"/>
          <w:iCs w:val="0"/>
          <w:sz w:val="22"/>
          <w:szCs w:val="22"/>
        </w:rPr>
      </w:pPr>
    </w:p>
    <w:p w14:paraId="1899EA03" w14:textId="77777777" w:rsidR="00E43991" w:rsidRDefault="0000163D" w:rsidP="00E43991">
      <w:pPr>
        <w:shd w:val="clear" w:color="auto" w:fill="FFFFFF"/>
        <w:tabs>
          <w:tab w:val="left" w:pos="2268"/>
          <w:tab w:val="left" w:pos="6804"/>
          <w:tab w:val="left" w:pos="6946"/>
        </w:tabs>
        <w:jc w:val="center"/>
        <w:rPr>
          <w:rFonts w:ascii="Calibri" w:hAnsi="Calibri"/>
          <w:b/>
          <w:i w:val="0"/>
          <w:iCs w:val="0"/>
          <w:sz w:val="22"/>
          <w:szCs w:val="22"/>
        </w:rPr>
      </w:pPr>
      <w:r w:rsidRPr="0036698F">
        <w:rPr>
          <w:rFonts w:ascii="Calibri" w:hAnsi="Calibri"/>
          <w:b/>
          <w:i w:val="0"/>
          <w:iCs w:val="0"/>
          <w:sz w:val="22"/>
          <w:szCs w:val="22"/>
        </w:rPr>
        <w:t>CHARAKTERYSTKA PRZEDSIĘWZIĘCIA</w:t>
      </w:r>
    </w:p>
    <w:p w14:paraId="1D3EA863" w14:textId="3DF1BF18" w:rsidR="00F35072" w:rsidRDefault="0084654B" w:rsidP="0084654B">
      <w:pPr>
        <w:shd w:val="clear" w:color="auto" w:fill="FFFFFF"/>
        <w:spacing w:before="360"/>
        <w:ind w:left="23"/>
        <w:jc w:val="center"/>
        <w:rPr>
          <w:rFonts w:ascii="Calibri" w:hAnsi="Calibri" w:cs="Calibri"/>
          <w:b/>
          <w:sz w:val="22"/>
          <w:szCs w:val="22"/>
        </w:rPr>
      </w:pPr>
      <w:r>
        <w:rPr>
          <w:rFonts w:ascii="Calibri" w:hAnsi="Calibri" w:cs="Calibri"/>
          <w:b/>
          <w:sz w:val="22"/>
          <w:szCs w:val="22"/>
          <w:lang w:eastAsia="ar-SA"/>
        </w:rPr>
        <w:t>„</w:t>
      </w:r>
      <w:r w:rsidR="005B296D">
        <w:rPr>
          <w:rFonts w:ascii="Calibri" w:hAnsi="Calibri" w:cs="Calibri"/>
          <w:b/>
          <w:spacing w:val="5"/>
          <w:sz w:val="22"/>
          <w:szCs w:val="22"/>
        </w:rPr>
        <w:t>Budowa</w:t>
      </w:r>
      <w:r w:rsidR="005B296D">
        <w:rPr>
          <w:rFonts w:ascii="Calibri" w:hAnsi="Calibri" w:cs="Calibri"/>
          <w:b/>
          <w:spacing w:val="5"/>
          <w:sz w:val="22"/>
          <w:szCs w:val="22"/>
        </w:rPr>
        <w:t xml:space="preserve"> Elektrowni Słonecznej ,,Mareza’’ wraz z infrastrukturą towarzyszącą zlokalizowanej na działkach 248/2, 248/3 o mocy </w:t>
      </w:r>
      <w:r w:rsidR="005B296D">
        <w:rPr>
          <w:rFonts w:ascii="Calibri" w:hAnsi="Calibri" w:cs="Calibri"/>
          <w:b/>
          <w:spacing w:val="5"/>
          <w:sz w:val="22"/>
          <w:szCs w:val="22"/>
        </w:rPr>
        <w:br/>
        <w:t>do 1 MW (obręb Mareza), gmina Kwidzyn</w:t>
      </w:r>
      <w:r w:rsidR="00F35072">
        <w:rPr>
          <w:rFonts w:ascii="Calibri" w:hAnsi="Calibri" w:cs="Calibri"/>
          <w:b/>
          <w:sz w:val="22"/>
          <w:szCs w:val="22"/>
        </w:rPr>
        <w:t>”</w:t>
      </w:r>
    </w:p>
    <w:p w14:paraId="6C2DA894" w14:textId="1D13D0BE" w:rsidR="0000163D" w:rsidRPr="00371FA2" w:rsidRDefault="0000163D" w:rsidP="0000163D">
      <w:pPr>
        <w:shd w:val="clear" w:color="auto" w:fill="FFFFFF"/>
        <w:spacing w:before="360"/>
        <w:ind w:left="23" w:firstLine="685"/>
        <w:jc w:val="both"/>
        <w:rPr>
          <w:rFonts w:asciiTheme="minorHAnsi" w:hAnsiTheme="minorHAnsi" w:cs="Calibri"/>
          <w:sz w:val="22"/>
          <w:szCs w:val="22"/>
        </w:rPr>
      </w:pPr>
      <w:r w:rsidRPr="00EF4D7C">
        <w:rPr>
          <w:rFonts w:ascii="Calibri" w:hAnsi="Calibri"/>
          <w:bCs/>
          <w:i w:val="0"/>
          <w:iCs w:val="0"/>
          <w:sz w:val="22"/>
          <w:szCs w:val="22"/>
        </w:rPr>
        <w:t>Charakterystyka planowanego przedsięwzięcia zg</w:t>
      </w:r>
      <w:r w:rsidR="003403F9" w:rsidRPr="00EF4D7C">
        <w:rPr>
          <w:rFonts w:ascii="Calibri" w:hAnsi="Calibri"/>
          <w:bCs/>
          <w:i w:val="0"/>
          <w:iCs w:val="0"/>
          <w:sz w:val="22"/>
          <w:szCs w:val="22"/>
        </w:rPr>
        <w:t>odnie z art. 84 ust. 2 ustawy</w:t>
      </w:r>
      <w:r w:rsidR="003403F9">
        <w:rPr>
          <w:rFonts w:asciiTheme="minorHAnsi" w:hAnsiTheme="minorHAnsi" w:cs="Calibri"/>
          <w:sz w:val="22"/>
          <w:szCs w:val="22"/>
        </w:rPr>
        <w:t xml:space="preserve"> o </w:t>
      </w:r>
      <w:r w:rsidRPr="00371FA2">
        <w:rPr>
          <w:rFonts w:asciiTheme="minorHAnsi" w:hAnsiTheme="minorHAnsi" w:cs="Calibri"/>
          <w:sz w:val="22"/>
          <w:szCs w:val="22"/>
        </w:rPr>
        <w:t xml:space="preserve">udostępnieniu informacji o środowisku i jego ochronie, udziale społeczeństwa w ochronie środowiska oraz ocenach oddziaływania na środowisko </w:t>
      </w:r>
      <w:r w:rsidR="00D22F9B" w:rsidRPr="00691ED1">
        <w:rPr>
          <w:rFonts w:ascii="Calibri" w:hAnsi="Calibri"/>
          <w:sz w:val="22"/>
          <w:szCs w:val="22"/>
          <w:lang w:eastAsia="ar-SA"/>
        </w:rPr>
        <w:t>(</w:t>
      </w:r>
      <w:r w:rsidR="00691ED1" w:rsidRPr="00691ED1">
        <w:rPr>
          <w:rFonts w:asciiTheme="minorHAnsi" w:hAnsiTheme="minorHAnsi" w:cs="Calibri"/>
          <w:sz w:val="22"/>
          <w:szCs w:val="22"/>
        </w:rPr>
        <w:t>Dz.U.2021 poz. 2373</w:t>
      </w:r>
      <w:r w:rsidR="00D22F9B" w:rsidRPr="00691ED1">
        <w:rPr>
          <w:rFonts w:ascii="Calibri" w:hAnsi="Calibri"/>
          <w:sz w:val="22"/>
          <w:szCs w:val="22"/>
          <w:lang w:eastAsia="ar-SA"/>
        </w:rPr>
        <w:t>)</w:t>
      </w:r>
      <w:r w:rsidR="00D22F9B">
        <w:rPr>
          <w:rFonts w:ascii="Calibri" w:hAnsi="Calibri"/>
          <w:sz w:val="22"/>
          <w:szCs w:val="22"/>
          <w:lang w:eastAsia="ar-SA"/>
        </w:rPr>
        <w:t xml:space="preserve"> </w:t>
      </w:r>
      <w:r w:rsidRPr="00371FA2">
        <w:rPr>
          <w:rFonts w:asciiTheme="minorHAnsi" w:hAnsiTheme="minorHAnsi" w:cs="Calibri"/>
          <w:sz w:val="22"/>
          <w:szCs w:val="22"/>
        </w:rPr>
        <w:t>Przedmiotową charakterystykę sporządzono w oparciu o dane zawarte w karcie informacyjnej przedsięwzięcia.</w:t>
      </w:r>
    </w:p>
    <w:p w14:paraId="2EA917C6" w14:textId="77777777" w:rsidR="0000163D" w:rsidRPr="00371FA2" w:rsidRDefault="0000163D" w:rsidP="0000163D">
      <w:pPr>
        <w:shd w:val="clear" w:color="auto" w:fill="FFFFFF"/>
        <w:ind w:left="34"/>
        <w:jc w:val="center"/>
        <w:rPr>
          <w:rFonts w:asciiTheme="minorHAnsi" w:hAnsiTheme="minorHAnsi" w:cs="Calibri"/>
          <w:b/>
          <w:i w:val="0"/>
          <w:sz w:val="22"/>
          <w:szCs w:val="22"/>
        </w:rPr>
      </w:pPr>
    </w:p>
    <w:p w14:paraId="78B07A9D" w14:textId="77777777" w:rsidR="0084654B" w:rsidRDefault="0084654B" w:rsidP="0084654B">
      <w:pPr>
        <w:widowControl/>
        <w:autoSpaceDE/>
        <w:autoSpaceDN/>
        <w:adjustRightInd/>
        <w:spacing w:line="360" w:lineRule="auto"/>
        <w:jc w:val="both"/>
        <w:rPr>
          <w:rFonts w:ascii="Calibri" w:hAnsi="Calibri" w:cs="Calibri"/>
          <w:i w:val="0"/>
          <w:iCs w:val="0"/>
          <w:sz w:val="22"/>
          <w:szCs w:val="22"/>
        </w:rPr>
      </w:pPr>
    </w:p>
    <w:p w14:paraId="3474E675" w14:textId="77777777" w:rsidR="005B296D" w:rsidRPr="005B296D" w:rsidRDefault="005B296D" w:rsidP="005B296D">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r w:rsidRPr="005B296D">
        <w:rPr>
          <w:rFonts w:ascii="Calibri" w:hAnsi="Calibri" w:cs="Calibri"/>
          <w:i w:val="0"/>
          <w:iCs w:val="0"/>
          <w:sz w:val="22"/>
          <w:szCs w:val="22"/>
        </w:rPr>
        <w:t xml:space="preserve">W ramach przedsięwzięcia planuje się budowę elektrowni fotowoltaicznej o mocy do 1 MW wraz z infrastrukturą towarzyszącą. W skład przedmiotowej inwestycji wchodzić będą następujące elementy: </w:t>
      </w:r>
    </w:p>
    <w:p w14:paraId="03B9F524" w14:textId="77777777" w:rsidR="005B296D" w:rsidRPr="005B296D" w:rsidRDefault="005B296D" w:rsidP="005B296D">
      <w:pPr>
        <w:widowControl/>
        <w:numPr>
          <w:ilvl w:val="0"/>
          <w:numId w:val="9"/>
        </w:numPr>
        <w:kinsoku w:val="0"/>
        <w:overflowPunct w:val="0"/>
        <w:autoSpaceDE/>
        <w:autoSpaceDN/>
        <w:adjustRightInd/>
        <w:spacing w:before="59" w:line="360" w:lineRule="auto"/>
        <w:ind w:left="567" w:right="-1" w:hanging="567"/>
        <w:jc w:val="both"/>
        <w:textAlignment w:val="baseline"/>
        <w:rPr>
          <w:rFonts w:ascii="Calibri" w:hAnsi="Calibri" w:cs="Calibri"/>
          <w:i w:val="0"/>
          <w:iCs w:val="0"/>
          <w:sz w:val="22"/>
          <w:szCs w:val="22"/>
        </w:rPr>
      </w:pPr>
      <w:r w:rsidRPr="005B296D">
        <w:rPr>
          <w:rFonts w:ascii="Calibri" w:hAnsi="Calibri" w:cs="Calibri"/>
          <w:i w:val="0"/>
          <w:iCs w:val="0"/>
          <w:sz w:val="22"/>
          <w:szCs w:val="22"/>
        </w:rPr>
        <w:t xml:space="preserve">zespół paneli fotowoltaicznych; </w:t>
      </w:r>
    </w:p>
    <w:p w14:paraId="0FFE295E" w14:textId="77777777" w:rsidR="005B296D" w:rsidRPr="005B296D" w:rsidRDefault="005B296D" w:rsidP="005B296D">
      <w:pPr>
        <w:widowControl/>
        <w:numPr>
          <w:ilvl w:val="0"/>
          <w:numId w:val="9"/>
        </w:numPr>
        <w:kinsoku w:val="0"/>
        <w:overflowPunct w:val="0"/>
        <w:autoSpaceDE/>
        <w:autoSpaceDN/>
        <w:adjustRightInd/>
        <w:spacing w:before="59" w:line="360" w:lineRule="auto"/>
        <w:ind w:left="567" w:right="-1" w:hanging="567"/>
        <w:jc w:val="both"/>
        <w:textAlignment w:val="baseline"/>
        <w:rPr>
          <w:rFonts w:ascii="Calibri" w:hAnsi="Calibri" w:cs="Calibri"/>
          <w:i w:val="0"/>
          <w:iCs w:val="0"/>
          <w:sz w:val="22"/>
          <w:szCs w:val="22"/>
        </w:rPr>
      </w:pPr>
      <w:r w:rsidRPr="005B296D">
        <w:rPr>
          <w:rFonts w:ascii="Calibri" w:hAnsi="Calibri" w:cs="Calibri"/>
          <w:i w:val="0"/>
          <w:iCs w:val="0"/>
          <w:sz w:val="22"/>
          <w:szCs w:val="22"/>
        </w:rPr>
        <w:t xml:space="preserve">kontener stacji transformatorowej, 1 szt.; </w:t>
      </w:r>
    </w:p>
    <w:p w14:paraId="2485B2F9" w14:textId="77777777" w:rsidR="005B296D" w:rsidRPr="005B296D" w:rsidRDefault="005B296D" w:rsidP="005B296D">
      <w:pPr>
        <w:widowControl/>
        <w:numPr>
          <w:ilvl w:val="0"/>
          <w:numId w:val="9"/>
        </w:numPr>
        <w:kinsoku w:val="0"/>
        <w:overflowPunct w:val="0"/>
        <w:autoSpaceDE/>
        <w:autoSpaceDN/>
        <w:adjustRightInd/>
        <w:spacing w:before="59" w:line="360" w:lineRule="auto"/>
        <w:ind w:left="567" w:right="-1" w:hanging="567"/>
        <w:jc w:val="both"/>
        <w:textAlignment w:val="baseline"/>
        <w:rPr>
          <w:rFonts w:ascii="Calibri" w:hAnsi="Calibri" w:cs="Calibri"/>
          <w:i w:val="0"/>
          <w:iCs w:val="0"/>
          <w:sz w:val="22"/>
          <w:szCs w:val="22"/>
        </w:rPr>
      </w:pPr>
      <w:r w:rsidRPr="005B296D">
        <w:rPr>
          <w:rFonts w:ascii="Calibri" w:hAnsi="Calibri" w:cs="Calibri"/>
          <w:i w:val="0"/>
          <w:iCs w:val="0"/>
          <w:sz w:val="22"/>
          <w:szCs w:val="22"/>
        </w:rPr>
        <w:t xml:space="preserve">kontener techniczny, 1 szt.; </w:t>
      </w:r>
    </w:p>
    <w:p w14:paraId="382FBA4C" w14:textId="77777777" w:rsidR="005B296D" w:rsidRPr="005B296D" w:rsidRDefault="005B296D" w:rsidP="005B296D">
      <w:pPr>
        <w:widowControl/>
        <w:numPr>
          <w:ilvl w:val="0"/>
          <w:numId w:val="9"/>
        </w:numPr>
        <w:kinsoku w:val="0"/>
        <w:overflowPunct w:val="0"/>
        <w:autoSpaceDE/>
        <w:autoSpaceDN/>
        <w:adjustRightInd/>
        <w:spacing w:before="59" w:line="360" w:lineRule="auto"/>
        <w:ind w:left="567" w:right="-1" w:hanging="567"/>
        <w:jc w:val="both"/>
        <w:textAlignment w:val="baseline"/>
        <w:rPr>
          <w:rFonts w:ascii="Calibri" w:hAnsi="Calibri" w:cs="Calibri"/>
          <w:i w:val="0"/>
          <w:iCs w:val="0"/>
          <w:sz w:val="22"/>
          <w:szCs w:val="22"/>
        </w:rPr>
      </w:pPr>
      <w:r w:rsidRPr="005B296D">
        <w:rPr>
          <w:rFonts w:ascii="Calibri" w:hAnsi="Calibri" w:cs="Calibri"/>
          <w:i w:val="0"/>
          <w:iCs w:val="0"/>
          <w:sz w:val="22"/>
          <w:szCs w:val="22"/>
        </w:rPr>
        <w:t xml:space="preserve">ogrodzenie terenu bez podmurówki. </w:t>
      </w:r>
    </w:p>
    <w:p w14:paraId="1A0AC629" w14:textId="77777777" w:rsidR="005B296D" w:rsidRPr="005B296D" w:rsidRDefault="005B296D" w:rsidP="005B296D">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r w:rsidRPr="005B296D">
        <w:rPr>
          <w:rFonts w:ascii="Calibri" w:hAnsi="Calibri" w:cs="Calibri"/>
          <w:i w:val="0"/>
          <w:iCs w:val="0"/>
          <w:sz w:val="22"/>
          <w:szCs w:val="22"/>
        </w:rPr>
        <w:t xml:space="preserve">Panele słoneczne  zostaną połączone ze sobą za  pomocą stalowych  konstrukcji, które następnie zostaną zamontowane na podporach. Cała konstrukcja zostanie posadowiona bezpośrednio w gruncie, bez użycia fundamentowania betonowego (przytwierdzenie konstrukcji do gruntu poprzez wkręcanie lub wbijanie, na głębokość do 2,5 m). Wysokość panelu w rzucie bocznym wraz ze słupkiem nie przekroczy wysokości 4 m. Panele zostaną umieszczone w rzędach, między  którymi pozostawiony zostanie odstęp od 3 do 10 m. </w:t>
      </w:r>
    </w:p>
    <w:p w14:paraId="2A60D07D" w14:textId="77777777" w:rsidR="005B296D" w:rsidRPr="005B296D" w:rsidRDefault="005B296D" w:rsidP="005B296D">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r w:rsidRPr="005B296D">
        <w:rPr>
          <w:rFonts w:ascii="Calibri" w:hAnsi="Calibri" w:cs="Calibri"/>
          <w:i w:val="0"/>
          <w:iCs w:val="0"/>
          <w:sz w:val="22"/>
          <w:szCs w:val="22"/>
        </w:rPr>
        <w:t xml:space="preserve">Przestrzeń pomiędzy rzędami paneli nie będzie przekształcana i pozostanie biologicznie czynna. </w:t>
      </w:r>
    </w:p>
    <w:p w14:paraId="5F2B0AB9" w14:textId="77777777" w:rsidR="005B296D" w:rsidRPr="005B296D" w:rsidRDefault="005B296D" w:rsidP="005B296D">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r w:rsidRPr="005B296D">
        <w:rPr>
          <w:rFonts w:ascii="Calibri" w:hAnsi="Calibri" w:cs="Calibri"/>
          <w:i w:val="0"/>
          <w:iCs w:val="0"/>
          <w:sz w:val="22"/>
          <w:szCs w:val="22"/>
        </w:rPr>
        <w:t xml:space="preserve">Transformator umieszczony będzie w kontenerze. Kontener jako abonencka stacja elektroenergetyczna składa się z komory obsługi, komory transformatora 0,4/15 </w:t>
      </w:r>
      <w:proofErr w:type="spellStart"/>
      <w:r w:rsidRPr="005B296D">
        <w:rPr>
          <w:rFonts w:ascii="Calibri" w:hAnsi="Calibri" w:cs="Calibri"/>
          <w:i w:val="0"/>
          <w:iCs w:val="0"/>
          <w:sz w:val="22"/>
          <w:szCs w:val="22"/>
        </w:rPr>
        <w:t>kV</w:t>
      </w:r>
      <w:proofErr w:type="spellEnd"/>
      <w:r w:rsidRPr="005B296D">
        <w:rPr>
          <w:rFonts w:ascii="Calibri" w:hAnsi="Calibri" w:cs="Calibri"/>
          <w:i w:val="0"/>
          <w:iCs w:val="0"/>
          <w:sz w:val="22"/>
          <w:szCs w:val="22"/>
        </w:rPr>
        <w:t xml:space="preserve">, rozdzielnicy  niskiego napięcia oraz rozdzielnicy średniego napięcia. Jak wskazano w KIP, posadowienie stacji transformatorowej będzie wiązało się z wykonaniem wykopu szerokoprzestrzennego, o głębokości do 50 cm. Stacja transformatorowa to prefabrykowana stacja typu kontenerowego z transformatorami typu suchego lub olejowego. W przypadku zastosowania modelu olejowego będzie on wyposażony w szczelna misę mogącą pomieścić do 100%  zawartości oleju. </w:t>
      </w:r>
    </w:p>
    <w:p w14:paraId="114747B5" w14:textId="77777777" w:rsidR="005B296D" w:rsidRPr="005B296D" w:rsidRDefault="005B296D" w:rsidP="005B296D">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r w:rsidRPr="005B296D">
        <w:rPr>
          <w:rFonts w:ascii="Calibri" w:hAnsi="Calibri" w:cs="Calibri"/>
          <w:i w:val="0"/>
          <w:iCs w:val="0"/>
          <w:sz w:val="22"/>
          <w:szCs w:val="22"/>
        </w:rPr>
        <w:lastRenderedPageBreak/>
        <w:t xml:space="preserve">Kablowa linia SN będzie układana  na głębokości ok. 80-100 cm. Nie przewiduje się </w:t>
      </w:r>
    </w:p>
    <w:p w14:paraId="76969ED3" w14:textId="77777777" w:rsidR="005B296D" w:rsidRPr="005B296D" w:rsidRDefault="005B296D" w:rsidP="005B296D">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r w:rsidRPr="005B296D">
        <w:rPr>
          <w:rFonts w:ascii="Calibri" w:hAnsi="Calibri" w:cs="Calibri"/>
          <w:i w:val="0"/>
          <w:iCs w:val="0"/>
          <w:sz w:val="22"/>
          <w:szCs w:val="22"/>
        </w:rPr>
        <w:t xml:space="preserve">odwadniania wykopów,  wody podziemne zalegają dużo niżej. </w:t>
      </w:r>
    </w:p>
    <w:p w14:paraId="0B580E13" w14:textId="77777777" w:rsidR="005B296D" w:rsidRPr="005B296D" w:rsidRDefault="005B296D" w:rsidP="005B296D">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r w:rsidRPr="005B296D">
        <w:rPr>
          <w:rFonts w:ascii="Calibri" w:hAnsi="Calibri" w:cs="Calibri"/>
          <w:i w:val="0"/>
          <w:iCs w:val="0"/>
          <w:sz w:val="22"/>
          <w:szCs w:val="22"/>
        </w:rPr>
        <w:t>Inwestor dopuszcza wykonanie parkingu z wyznaczonymi miejscami postojowymi o wymiarach  2,5 x 5 m każde oraz placu manewrowego o powierzchni do 900 m</w:t>
      </w:r>
      <w:r w:rsidRPr="005B296D">
        <w:rPr>
          <w:rFonts w:ascii="Calibri" w:hAnsi="Calibri" w:cs="Calibri"/>
          <w:i w:val="0"/>
          <w:iCs w:val="0"/>
          <w:sz w:val="22"/>
          <w:szCs w:val="22"/>
          <w:vertAlign w:val="superscript"/>
        </w:rPr>
        <w:t>2</w:t>
      </w:r>
      <w:r w:rsidRPr="005B296D">
        <w:rPr>
          <w:rFonts w:ascii="Calibri" w:hAnsi="Calibri" w:cs="Calibri"/>
          <w:i w:val="0"/>
          <w:iCs w:val="0"/>
          <w:sz w:val="22"/>
          <w:szCs w:val="22"/>
        </w:rPr>
        <w:t xml:space="preserve">, które mogą być zlokalizowane przy kontenerze stacji transformatorowej. Wymienione elementy infrastruktury oraz drogi dojazdowe w  przypadku realizacji zostaną wykonane jako powierzchnia z zagęszczonego kruszywa lub nieutwardzone. </w:t>
      </w:r>
    </w:p>
    <w:p w14:paraId="4C20A779" w14:textId="77777777" w:rsidR="005B296D" w:rsidRPr="005B296D" w:rsidRDefault="005B296D" w:rsidP="005B296D">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r w:rsidRPr="005B296D">
        <w:rPr>
          <w:rFonts w:ascii="Calibri" w:hAnsi="Calibri" w:cs="Calibri"/>
          <w:i w:val="0"/>
          <w:iCs w:val="0"/>
          <w:sz w:val="22"/>
          <w:szCs w:val="22"/>
        </w:rPr>
        <w:t xml:space="preserve">Kontener techniczny może stanowić magazyn energii. W ramach planowanej inwestycji stosowane będą magazyny bateryjne - </w:t>
      </w:r>
      <w:proofErr w:type="spellStart"/>
      <w:r w:rsidRPr="005B296D">
        <w:rPr>
          <w:rFonts w:ascii="Calibri" w:hAnsi="Calibri" w:cs="Calibri"/>
          <w:i w:val="0"/>
          <w:iCs w:val="0"/>
          <w:sz w:val="22"/>
          <w:szCs w:val="22"/>
        </w:rPr>
        <w:t>litowo</w:t>
      </w:r>
      <w:proofErr w:type="spellEnd"/>
      <w:r w:rsidRPr="005B296D">
        <w:rPr>
          <w:rFonts w:ascii="Calibri" w:hAnsi="Calibri" w:cs="Calibri"/>
          <w:i w:val="0"/>
          <w:iCs w:val="0"/>
          <w:sz w:val="22"/>
          <w:szCs w:val="22"/>
        </w:rPr>
        <w:t xml:space="preserve">-żelazowe. Będą to magazyny energii, które w wyniku procesu użytkowania nie będą wytwarzać żadnych produktów ubocznych w postaci gazów ciekłych (m.in. wodoru), które wymagałyby specjalnego magazynowania, odbioru oraz składowania. </w:t>
      </w:r>
    </w:p>
    <w:p w14:paraId="1BC5AC1E" w14:textId="77777777" w:rsidR="005B296D" w:rsidRPr="005B296D" w:rsidRDefault="005B296D" w:rsidP="005B296D">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r w:rsidRPr="005B296D">
        <w:rPr>
          <w:rFonts w:ascii="Calibri" w:hAnsi="Calibri" w:cs="Calibri"/>
          <w:i w:val="0"/>
          <w:iCs w:val="0"/>
          <w:sz w:val="22"/>
          <w:szCs w:val="22"/>
        </w:rPr>
        <w:t>Po zakończeniu realizacji wszystkich elementów elektrowni, teren przedsięwzięcia zostanie ogrodzony. Ponadto przewiduje się pozostawienie wolnej przestrzeni wokół całej instalacji, przeznaczonej pod drogę gruntową o szerokości do 8 m.</w:t>
      </w:r>
    </w:p>
    <w:p w14:paraId="0EA800C4" w14:textId="77777777" w:rsidR="005B296D" w:rsidRPr="005B296D" w:rsidRDefault="005B296D" w:rsidP="005B296D">
      <w:pPr>
        <w:widowControl/>
        <w:autoSpaceDE/>
        <w:autoSpaceDN/>
        <w:adjustRightInd/>
        <w:spacing w:line="360" w:lineRule="auto"/>
        <w:contextualSpacing/>
        <w:jc w:val="both"/>
        <w:rPr>
          <w:rFonts w:ascii="Calibri" w:hAnsi="Calibri" w:cs="Calibri"/>
          <w:i w:val="0"/>
          <w:iCs w:val="0"/>
          <w:sz w:val="22"/>
          <w:szCs w:val="22"/>
        </w:rPr>
      </w:pPr>
      <w:r w:rsidRPr="005B296D">
        <w:rPr>
          <w:rFonts w:ascii="Calibri" w:hAnsi="Calibri" w:cs="Calibri"/>
          <w:i w:val="0"/>
          <w:iCs w:val="0"/>
          <w:sz w:val="22"/>
          <w:szCs w:val="22"/>
        </w:rPr>
        <w:t xml:space="preserve">Przedmiotowe przedsięwzięcie zlokalizowane będzie na działkach o nr ewidencyjnym </w:t>
      </w:r>
      <w:r w:rsidRPr="005B296D">
        <w:rPr>
          <w:rFonts w:ascii="Calibri" w:hAnsi="Calibri" w:cs="Calibri"/>
          <w:i w:val="0"/>
          <w:iCs w:val="0"/>
          <w:sz w:val="22"/>
          <w:szCs w:val="22"/>
        </w:rPr>
        <w:br/>
        <w:t xml:space="preserve">248/2, 248/3 o łącznej powierzchni całkowitej ok. 1,36 ha w miejscowości Mareza na terenie gminy Kwidzyn. Powierzchnia terenu objętego wnioskiem (zgodnie z załączoną mapą ewidencyjną) wynosi do 1,36 ha - powierzchnia terenu objętego zabudową przemysłową. Najbliższa zabudowa mieszkaniowa znajduje się w odległości ok. 280 m w linii prostej, o urządzeń wytwarzających hałas na terenie planowanej inwestycji. W sąsiedztwie planowanej inwestycji znajduje się jedna elektrownia fotowoltaiczna (dz. 273 i 274 obręb Mareza). </w:t>
      </w:r>
    </w:p>
    <w:p w14:paraId="5E322017" w14:textId="77777777" w:rsidR="005B296D" w:rsidRPr="005B296D" w:rsidRDefault="005B296D" w:rsidP="005B296D">
      <w:pPr>
        <w:widowControl/>
        <w:autoSpaceDE/>
        <w:autoSpaceDN/>
        <w:adjustRightInd/>
        <w:spacing w:line="360" w:lineRule="auto"/>
        <w:contextualSpacing/>
        <w:jc w:val="both"/>
        <w:rPr>
          <w:rFonts w:ascii="Calibri" w:hAnsi="Calibri" w:cs="Calibri"/>
          <w:i w:val="0"/>
          <w:iCs w:val="0"/>
          <w:sz w:val="22"/>
          <w:szCs w:val="22"/>
        </w:rPr>
      </w:pPr>
      <w:r w:rsidRPr="005B296D">
        <w:rPr>
          <w:rFonts w:ascii="Calibri" w:hAnsi="Calibri" w:cs="Calibri"/>
          <w:i w:val="0"/>
          <w:iCs w:val="0"/>
          <w:sz w:val="22"/>
          <w:szCs w:val="22"/>
        </w:rPr>
        <w:t xml:space="preserve">Działka o numerze ew. 248/2 stanowią grunty orne </w:t>
      </w:r>
      <w:proofErr w:type="spellStart"/>
      <w:r w:rsidRPr="005B296D">
        <w:rPr>
          <w:rFonts w:ascii="Calibri" w:hAnsi="Calibri" w:cs="Calibri"/>
          <w:i w:val="0"/>
          <w:iCs w:val="0"/>
          <w:sz w:val="22"/>
          <w:szCs w:val="22"/>
        </w:rPr>
        <w:t>RIVa</w:t>
      </w:r>
      <w:proofErr w:type="spellEnd"/>
      <w:r w:rsidRPr="005B296D">
        <w:rPr>
          <w:rFonts w:ascii="Calibri" w:hAnsi="Calibri" w:cs="Calibri"/>
          <w:i w:val="0"/>
          <w:iCs w:val="0"/>
          <w:sz w:val="22"/>
          <w:szCs w:val="22"/>
        </w:rPr>
        <w:t xml:space="preserve">, natomiast działka o numerze </w:t>
      </w:r>
      <w:proofErr w:type="spellStart"/>
      <w:r w:rsidRPr="005B296D">
        <w:rPr>
          <w:rFonts w:ascii="Calibri" w:hAnsi="Calibri" w:cs="Calibri"/>
          <w:i w:val="0"/>
          <w:iCs w:val="0"/>
          <w:sz w:val="22"/>
          <w:szCs w:val="22"/>
        </w:rPr>
        <w:t>ewid</w:t>
      </w:r>
      <w:proofErr w:type="spellEnd"/>
      <w:r w:rsidRPr="005B296D">
        <w:rPr>
          <w:rFonts w:ascii="Calibri" w:hAnsi="Calibri" w:cs="Calibri"/>
          <w:i w:val="0"/>
          <w:iCs w:val="0"/>
          <w:sz w:val="22"/>
          <w:szCs w:val="22"/>
        </w:rPr>
        <w:t xml:space="preserve">. 248/3 stanowią grunty orne </w:t>
      </w:r>
      <w:proofErr w:type="spellStart"/>
      <w:r w:rsidRPr="005B296D">
        <w:rPr>
          <w:rFonts w:ascii="Calibri" w:hAnsi="Calibri" w:cs="Calibri"/>
          <w:i w:val="0"/>
          <w:iCs w:val="0"/>
          <w:sz w:val="22"/>
          <w:szCs w:val="22"/>
        </w:rPr>
        <w:t>RIVa</w:t>
      </w:r>
      <w:proofErr w:type="spellEnd"/>
      <w:r w:rsidRPr="005B296D">
        <w:rPr>
          <w:rFonts w:ascii="Calibri" w:hAnsi="Calibri" w:cs="Calibri"/>
          <w:i w:val="0"/>
          <w:iCs w:val="0"/>
          <w:sz w:val="22"/>
          <w:szCs w:val="22"/>
        </w:rPr>
        <w:t xml:space="preserve"> oraz W. Przedmiotowe przedsięwzięcie usytuowane zostanie na gruntach ornych </w:t>
      </w:r>
      <w:proofErr w:type="spellStart"/>
      <w:r w:rsidRPr="005B296D">
        <w:rPr>
          <w:rFonts w:ascii="Calibri" w:hAnsi="Calibri" w:cs="Calibri"/>
          <w:i w:val="0"/>
          <w:iCs w:val="0"/>
          <w:sz w:val="22"/>
          <w:szCs w:val="22"/>
        </w:rPr>
        <w:t>RIVa</w:t>
      </w:r>
      <w:proofErr w:type="spellEnd"/>
      <w:r w:rsidRPr="005B296D">
        <w:rPr>
          <w:rFonts w:ascii="Calibri" w:hAnsi="Calibri" w:cs="Calibri"/>
          <w:i w:val="0"/>
          <w:iCs w:val="0"/>
          <w:sz w:val="22"/>
          <w:szCs w:val="22"/>
        </w:rPr>
        <w:t xml:space="preserve">. Działki w miejscu realizacji inwestycji są stosunkowo płaskie. </w:t>
      </w:r>
    </w:p>
    <w:p w14:paraId="4405F7BC" w14:textId="77777777" w:rsidR="005B296D" w:rsidRPr="005B296D" w:rsidRDefault="005B296D" w:rsidP="005B296D">
      <w:pPr>
        <w:widowControl/>
        <w:autoSpaceDE/>
        <w:autoSpaceDN/>
        <w:adjustRightInd/>
        <w:spacing w:line="360" w:lineRule="auto"/>
        <w:contextualSpacing/>
        <w:jc w:val="both"/>
        <w:rPr>
          <w:rFonts w:ascii="Calibri" w:hAnsi="Calibri" w:cs="Calibri"/>
          <w:i w:val="0"/>
          <w:iCs w:val="0"/>
          <w:sz w:val="22"/>
          <w:szCs w:val="22"/>
        </w:rPr>
      </w:pPr>
      <w:r w:rsidRPr="005B296D">
        <w:rPr>
          <w:rFonts w:ascii="Calibri" w:hAnsi="Calibri" w:cs="Calibri"/>
          <w:i w:val="0"/>
          <w:iCs w:val="0"/>
          <w:sz w:val="22"/>
          <w:szCs w:val="22"/>
        </w:rPr>
        <w:t xml:space="preserve">W sąsiedztwie terenu inwestycyjnego znajdują się rowy melioracyjne oraz większe cieki, w tym rzeka Liwa — w odległości ok. 390 m na wschód od obszaru planowanej inwestycji. </w:t>
      </w:r>
    </w:p>
    <w:p w14:paraId="33FDB7EC" w14:textId="77777777" w:rsidR="005B296D" w:rsidRPr="005B296D" w:rsidRDefault="005B296D" w:rsidP="005B296D">
      <w:pPr>
        <w:widowControl/>
        <w:autoSpaceDE/>
        <w:autoSpaceDN/>
        <w:adjustRightInd/>
        <w:spacing w:line="360" w:lineRule="auto"/>
        <w:contextualSpacing/>
        <w:jc w:val="both"/>
        <w:rPr>
          <w:rFonts w:ascii="Calibri" w:hAnsi="Calibri" w:cs="Calibri"/>
          <w:i w:val="0"/>
          <w:iCs w:val="0"/>
          <w:sz w:val="22"/>
          <w:szCs w:val="22"/>
        </w:rPr>
      </w:pPr>
      <w:r w:rsidRPr="005B296D">
        <w:rPr>
          <w:rFonts w:ascii="Calibri" w:hAnsi="Calibri" w:cs="Calibri"/>
          <w:i w:val="0"/>
          <w:iCs w:val="0"/>
          <w:sz w:val="22"/>
          <w:szCs w:val="22"/>
        </w:rPr>
        <w:t xml:space="preserve">W związku z powyższym, obszar planowanej inwestycji może stanowić potencjalny teren migracji chronionych gatunków </w:t>
      </w:r>
      <w:proofErr w:type="spellStart"/>
      <w:r w:rsidRPr="005B296D">
        <w:rPr>
          <w:rFonts w:ascii="Calibri" w:hAnsi="Calibri" w:cs="Calibri"/>
          <w:i w:val="0"/>
          <w:iCs w:val="0"/>
          <w:sz w:val="22"/>
          <w:szCs w:val="22"/>
        </w:rPr>
        <w:t>herpetofauny</w:t>
      </w:r>
      <w:proofErr w:type="spellEnd"/>
      <w:r w:rsidRPr="005B296D">
        <w:rPr>
          <w:rFonts w:ascii="Calibri" w:hAnsi="Calibri" w:cs="Calibri"/>
          <w:i w:val="0"/>
          <w:iCs w:val="0"/>
          <w:sz w:val="22"/>
          <w:szCs w:val="22"/>
        </w:rPr>
        <w:t xml:space="preserve">. W związku z czym tutejszy organ zalecił podczas   prowadzenia wykopów zabezpieczenie placu robót np. płotkiem z siatki herpetologicznej przed przedostaniem się do wykopów małych zwierząt oraz codzienną kontrolę wykopów przed przystąpieniem do dalszych prac. Uwięzione zwierzęta niezwłocznie należy przenosić poza teren objęty pracami, na właściwe dla nich siedlisko. Przenoszenie należy prowadzić pod nadzorem przyrodnika. Dodatkowo, z uwagi na  wyniki najnowszych badań przeprowadzonych m.in. przez  naukowców z Uniwersytetu Jagiellońskiego w latach 2018-2019, które potwierdzają  występowanie w populacjach płazów w </w:t>
      </w:r>
      <w:r w:rsidRPr="005B296D">
        <w:rPr>
          <w:rFonts w:ascii="Calibri" w:hAnsi="Calibri" w:cs="Calibri"/>
          <w:i w:val="0"/>
          <w:iCs w:val="0"/>
          <w:sz w:val="22"/>
          <w:szCs w:val="22"/>
        </w:rPr>
        <w:lastRenderedPageBreak/>
        <w:t xml:space="preserve">Polsce </w:t>
      </w:r>
      <w:proofErr w:type="spellStart"/>
      <w:r w:rsidRPr="005B296D">
        <w:rPr>
          <w:rFonts w:ascii="Calibri" w:hAnsi="Calibri" w:cs="Calibri"/>
          <w:iCs w:val="0"/>
          <w:sz w:val="22"/>
          <w:szCs w:val="22"/>
        </w:rPr>
        <w:t>Batrachochydrium</w:t>
      </w:r>
      <w:proofErr w:type="spellEnd"/>
      <w:r w:rsidRPr="005B296D">
        <w:rPr>
          <w:rFonts w:ascii="Calibri" w:hAnsi="Calibri" w:cs="Calibri"/>
          <w:iCs w:val="0"/>
          <w:sz w:val="22"/>
          <w:szCs w:val="22"/>
        </w:rPr>
        <w:t xml:space="preserve"> </w:t>
      </w:r>
      <w:proofErr w:type="spellStart"/>
      <w:r w:rsidRPr="005B296D">
        <w:rPr>
          <w:rFonts w:ascii="Calibri" w:hAnsi="Calibri" w:cs="Calibri"/>
          <w:iCs w:val="0"/>
          <w:sz w:val="22"/>
          <w:szCs w:val="22"/>
        </w:rPr>
        <w:t>dendrobatidis</w:t>
      </w:r>
      <w:proofErr w:type="spellEnd"/>
      <w:r w:rsidRPr="005B296D">
        <w:rPr>
          <w:rFonts w:ascii="Calibri" w:hAnsi="Calibri" w:cs="Calibri"/>
          <w:i w:val="0"/>
          <w:iCs w:val="0"/>
          <w:sz w:val="22"/>
          <w:szCs w:val="22"/>
        </w:rPr>
        <w:t xml:space="preserve">, prace terenowe z tą grupą zwierząt należy prowadzić przy użyciu rękawiczek, a używany do tego sprzęt musi być dezynfekowany. Jednocześnie tutejszy organ zaznacza, że decyzja o środowiskowych  uwarunkowaniach nie zastępuje zezwolenia w trybie art. 56 ww. ustawy z dnia 16 kwietnia 2004 r. o ochronie przyrody. Na ewentualne zniszczenie siedlisk gatunków, płoszenie lub przenoszenie gatunków znajdujących się pod ochroną należy zatem uzyskać zezwolenie w trybie art. 56 ust. 1 ww. ustawy. </w:t>
      </w:r>
    </w:p>
    <w:p w14:paraId="27859D4C" w14:textId="77777777" w:rsidR="005B296D" w:rsidRPr="005B296D" w:rsidRDefault="005B296D" w:rsidP="005B296D">
      <w:pPr>
        <w:widowControl/>
        <w:autoSpaceDE/>
        <w:autoSpaceDN/>
        <w:adjustRightInd/>
        <w:spacing w:line="360" w:lineRule="auto"/>
        <w:contextualSpacing/>
        <w:jc w:val="both"/>
        <w:rPr>
          <w:rFonts w:ascii="Calibri" w:hAnsi="Calibri" w:cs="Calibri"/>
          <w:i w:val="0"/>
          <w:iCs w:val="0"/>
          <w:sz w:val="22"/>
          <w:szCs w:val="22"/>
        </w:rPr>
      </w:pPr>
      <w:r w:rsidRPr="005B296D">
        <w:rPr>
          <w:rFonts w:ascii="Calibri" w:hAnsi="Calibri" w:cs="Calibri"/>
          <w:i w:val="0"/>
          <w:iCs w:val="0"/>
          <w:sz w:val="22"/>
          <w:szCs w:val="22"/>
        </w:rPr>
        <w:t xml:space="preserve">Planowane przedsięwzięcie zlokalizowane jest poza obszarami Natura 2000. </w:t>
      </w:r>
    </w:p>
    <w:p w14:paraId="4BF027CD" w14:textId="77777777" w:rsidR="005B296D" w:rsidRPr="005B296D" w:rsidRDefault="005B296D" w:rsidP="005B296D">
      <w:pPr>
        <w:widowControl/>
        <w:autoSpaceDE/>
        <w:autoSpaceDN/>
        <w:adjustRightInd/>
        <w:spacing w:line="360" w:lineRule="auto"/>
        <w:contextualSpacing/>
        <w:jc w:val="both"/>
        <w:rPr>
          <w:rFonts w:ascii="Calibri" w:hAnsi="Calibri" w:cs="Calibri"/>
          <w:i w:val="0"/>
          <w:iCs w:val="0"/>
          <w:sz w:val="22"/>
          <w:szCs w:val="22"/>
        </w:rPr>
      </w:pPr>
      <w:r w:rsidRPr="005B296D">
        <w:rPr>
          <w:rFonts w:ascii="Calibri" w:hAnsi="Calibri" w:cs="Calibri"/>
          <w:i w:val="0"/>
          <w:iCs w:val="0"/>
          <w:sz w:val="22"/>
          <w:szCs w:val="22"/>
        </w:rPr>
        <w:t xml:space="preserve">Najbliższe obszary Natura 2000 znajdują się w odległości ok. 3,27 km — Natura 2000 Dolina Dolnej Wisły PLB040003 oraz Natura 2000 Dolna Wisła PLH220033. Pozostałe obszary Natura 2000 zlokalizowane są w odległości powyżej 18 km. </w:t>
      </w:r>
    </w:p>
    <w:p w14:paraId="5733D058" w14:textId="77777777" w:rsidR="005B296D" w:rsidRPr="005B296D" w:rsidRDefault="005B296D" w:rsidP="005B296D">
      <w:pPr>
        <w:widowControl/>
        <w:autoSpaceDE/>
        <w:autoSpaceDN/>
        <w:adjustRightInd/>
        <w:spacing w:line="360" w:lineRule="auto"/>
        <w:contextualSpacing/>
        <w:jc w:val="both"/>
        <w:rPr>
          <w:rFonts w:ascii="Calibri" w:hAnsi="Calibri" w:cs="Calibri"/>
          <w:i w:val="0"/>
          <w:iCs w:val="0"/>
          <w:sz w:val="22"/>
          <w:szCs w:val="22"/>
        </w:rPr>
      </w:pPr>
      <w:r w:rsidRPr="005B296D">
        <w:rPr>
          <w:rFonts w:ascii="Calibri" w:hAnsi="Calibri" w:cs="Calibri"/>
          <w:i w:val="0"/>
          <w:iCs w:val="0"/>
          <w:sz w:val="22"/>
          <w:szCs w:val="22"/>
        </w:rPr>
        <w:t xml:space="preserve">Położenie inwestycji na terenie wykorzystywanym rolniczo, wyklucza możliwość utraty powierzchni i fragmentacji siedlisk przyrodniczych i siedlisk gatunków stanowiących przedmiot ochrony w ww. obszarze Natura 2000. Mając na uwadze położenie geograficzne oraz skalę i charakter przedsięwzięcia, nie ma  podstaw przypuszczać, aby realizacja inwestycji mogła również spowodować pogorszenie stanu siedlisk przyrodniczych lub siedlisk gatunków roślin i zwierząt, dla których ochrony został wyznaczony ww. obszar Natura 2000, wpłynąć negatywnie na gatunki, dla których obszar ochrony został wyznaczony, pogorszyć integralność obszaru Natura 2000 lub jego powiązania z innymi obszarami. Nie jest więc konieczne przeprowadzenie oceny w trybie art. 6.3 Dyrektywy Siedliskowej. </w:t>
      </w:r>
    </w:p>
    <w:p w14:paraId="79CC96E2" w14:textId="77777777" w:rsidR="005B296D" w:rsidRPr="005B296D" w:rsidRDefault="005B296D" w:rsidP="005B296D">
      <w:pPr>
        <w:widowControl/>
        <w:autoSpaceDE/>
        <w:autoSpaceDN/>
        <w:adjustRightInd/>
        <w:spacing w:line="360" w:lineRule="auto"/>
        <w:contextualSpacing/>
        <w:jc w:val="both"/>
        <w:rPr>
          <w:rFonts w:ascii="Calibri" w:hAnsi="Calibri" w:cs="Calibri"/>
          <w:i w:val="0"/>
          <w:iCs w:val="0"/>
          <w:sz w:val="22"/>
          <w:szCs w:val="22"/>
        </w:rPr>
      </w:pPr>
      <w:r w:rsidRPr="005B296D">
        <w:rPr>
          <w:rFonts w:ascii="Calibri" w:hAnsi="Calibri" w:cs="Calibri"/>
          <w:i w:val="0"/>
          <w:iCs w:val="0"/>
          <w:sz w:val="22"/>
          <w:szCs w:val="22"/>
        </w:rPr>
        <w:t xml:space="preserve">Inne najbliżej położone obszary chronione, objęte ochroną na podstawie przepisów ustawy z dnia 16 kwietnia 2004 r. o ochronie przyrody (tekst jedn. Dz. U. z 2021 r., poz. 1098 ze zm.) znajdują się w odległości: </w:t>
      </w:r>
    </w:p>
    <w:p w14:paraId="38C550EA" w14:textId="77777777" w:rsidR="005B296D" w:rsidRPr="005B296D" w:rsidRDefault="005B296D" w:rsidP="005B296D">
      <w:pPr>
        <w:widowControl/>
        <w:numPr>
          <w:ilvl w:val="0"/>
          <w:numId w:val="10"/>
        </w:numPr>
        <w:autoSpaceDE/>
        <w:autoSpaceDN/>
        <w:adjustRightInd/>
        <w:spacing w:line="360" w:lineRule="auto"/>
        <w:ind w:left="567" w:hanging="567"/>
        <w:contextualSpacing/>
        <w:jc w:val="both"/>
        <w:rPr>
          <w:rFonts w:ascii="Calibri" w:hAnsi="Calibri" w:cs="Calibri"/>
          <w:i w:val="0"/>
          <w:iCs w:val="0"/>
          <w:sz w:val="22"/>
          <w:szCs w:val="22"/>
        </w:rPr>
      </w:pPr>
      <w:r w:rsidRPr="005B296D">
        <w:rPr>
          <w:rFonts w:ascii="Calibri" w:hAnsi="Calibri" w:cs="Calibri"/>
          <w:i w:val="0"/>
          <w:iCs w:val="0"/>
          <w:sz w:val="22"/>
          <w:szCs w:val="22"/>
        </w:rPr>
        <w:t xml:space="preserve">ok. 1,08 km Ryjewski Obszar Chronionego Krajobrazu; </w:t>
      </w:r>
    </w:p>
    <w:p w14:paraId="04BE01BF" w14:textId="77777777" w:rsidR="005B296D" w:rsidRPr="005B296D" w:rsidRDefault="005B296D" w:rsidP="005B296D">
      <w:pPr>
        <w:widowControl/>
        <w:numPr>
          <w:ilvl w:val="0"/>
          <w:numId w:val="10"/>
        </w:numPr>
        <w:autoSpaceDE/>
        <w:autoSpaceDN/>
        <w:adjustRightInd/>
        <w:spacing w:line="360" w:lineRule="auto"/>
        <w:ind w:left="567" w:hanging="567"/>
        <w:contextualSpacing/>
        <w:jc w:val="both"/>
        <w:rPr>
          <w:rFonts w:ascii="Calibri" w:hAnsi="Calibri" w:cs="Calibri"/>
          <w:i w:val="0"/>
          <w:iCs w:val="0"/>
          <w:sz w:val="22"/>
          <w:szCs w:val="22"/>
        </w:rPr>
      </w:pPr>
      <w:r w:rsidRPr="005B296D">
        <w:rPr>
          <w:rFonts w:ascii="Calibri" w:hAnsi="Calibri" w:cs="Calibri"/>
          <w:i w:val="0"/>
          <w:iCs w:val="0"/>
          <w:sz w:val="22"/>
          <w:szCs w:val="22"/>
        </w:rPr>
        <w:t xml:space="preserve">ok. 2,29 km Morawski Obszar Chronionego Krajobrazu; </w:t>
      </w:r>
    </w:p>
    <w:p w14:paraId="08559C9C" w14:textId="77777777" w:rsidR="005B296D" w:rsidRPr="005B296D" w:rsidRDefault="005B296D" w:rsidP="005B296D">
      <w:pPr>
        <w:widowControl/>
        <w:numPr>
          <w:ilvl w:val="0"/>
          <w:numId w:val="10"/>
        </w:numPr>
        <w:autoSpaceDE/>
        <w:autoSpaceDN/>
        <w:adjustRightInd/>
        <w:spacing w:line="360" w:lineRule="auto"/>
        <w:ind w:left="567" w:hanging="567"/>
        <w:contextualSpacing/>
        <w:jc w:val="both"/>
        <w:rPr>
          <w:rFonts w:ascii="Calibri" w:hAnsi="Calibri" w:cs="Calibri"/>
          <w:i w:val="0"/>
          <w:iCs w:val="0"/>
          <w:sz w:val="22"/>
          <w:szCs w:val="22"/>
        </w:rPr>
      </w:pPr>
      <w:r w:rsidRPr="005B296D">
        <w:rPr>
          <w:rFonts w:ascii="Calibri" w:hAnsi="Calibri" w:cs="Calibri"/>
          <w:i w:val="0"/>
          <w:iCs w:val="0"/>
          <w:sz w:val="22"/>
          <w:szCs w:val="22"/>
        </w:rPr>
        <w:t xml:space="preserve">ok. 3,46 km Obszar Chronionego Krajobrazu Doliny Kwidzyńskiej; </w:t>
      </w:r>
    </w:p>
    <w:p w14:paraId="5765C431" w14:textId="77777777" w:rsidR="005B296D" w:rsidRPr="005B296D" w:rsidRDefault="005B296D" w:rsidP="005B296D">
      <w:pPr>
        <w:widowControl/>
        <w:numPr>
          <w:ilvl w:val="0"/>
          <w:numId w:val="10"/>
        </w:numPr>
        <w:autoSpaceDE/>
        <w:autoSpaceDN/>
        <w:adjustRightInd/>
        <w:spacing w:line="360" w:lineRule="auto"/>
        <w:ind w:left="567" w:hanging="567"/>
        <w:contextualSpacing/>
        <w:jc w:val="both"/>
        <w:rPr>
          <w:rFonts w:ascii="Calibri" w:hAnsi="Calibri" w:cs="Calibri"/>
          <w:i w:val="0"/>
          <w:iCs w:val="0"/>
          <w:sz w:val="22"/>
          <w:szCs w:val="22"/>
        </w:rPr>
      </w:pPr>
      <w:r w:rsidRPr="005B296D">
        <w:rPr>
          <w:rFonts w:ascii="Calibri" w:hAnsi="Calibri" w:cs="Calibri"/>
          <w:i w:val="0"/>
          <w:iCs w:val="0"/>
          <w:sz w:val="22"/>
          <w:szCs w:val="22"/>
        </w:rPr>
        <w:t xml:space="preserve">ok. 3,54 km Nadwiślański Obszar Chronionego Krajobrazu (woj. pomorskie); </w:t>
      </w:r>
    </w:p>
    <w:p w14:paraId="76247C7D" w14:textId="77777777" w:rsidR="005B296D" w:rsidRPr="005B296D" w:rsidRDefault="005B296D" w:rsidP="005B296D">
      <w:pPr>
        <w:widowControl/>
        <w:numPr>
          <w:ilvl w:val="0"/>
          <w:numId w:val="10"/>
        </w:numPr>
        <w:autoSpaceDE/>
        <w:autoSpaceDN/>
        <w:adjustRightInd/>
        <w:spacing w:line="360" w:lineRule="auto"/>
        <w:ind w:left="567" w:hanging="567"/>
        <w:contextualSpacing/>
        <w:jc w:val="both"/>
        <w:rPr>
          <w:rFonts w:ascii="Calibri" w:hAnsi="Calibri" w:cs="Calibri"/>
          <w:i w:val="0"/>
          <w:iCs w:val="0"/>
          <w:sz w:val="22"/>
          <w:szCs w:val="22"/>
        </w:rPr>
      </w:pPr>
      <w:r w:rsidRPr="005B296D">
        <w:rPr>
          <w:rFonts w:ascii="Calibri" w:hAnsi="Calibri" w:cs="Calibri"/>
          <w:i w:val="0"/>
          <w:iCs w:val="0"/>
          <w:sz w:val="22"/>
          <w:szCs w:val="22"/>
        </w:rPr>
        <w:t xml:space="preserve">ok. 3,76 km </w:t>
      </w:r>
      <w:proofErr w:type="spellStart"/>
      <w:r w:rsidRPr="005B296D">
        <w:rPr>
          <w:rFonts w:ascii="Calibri" w:hAnsi="Calibri" w:cs="Calibri"/>
          <w:i w:val="0"/>
          <w:iCs w:val="0"/>
          <w:sz w:val="22"/>
          <w:szCs w:val="22"/>
        </w:rPr>
        <w:t>Sadliński</w:t>
      </w:r>
      <w:proofErr w:type="spellEnd"/>
      <w:r w:rsidRPr="005B296D">
        <w:rPr>
          <w:rFonts w:ascii="Calibri" w:hAnsi="Calibri" w:cs="Calibri"/>
          <w:i w:val="0"/>
          <w:iCs w:val="0"/>
          <w:sz w:val="22"/>
          <w:szCs w:val="22"/>
        </w:rPr>
        <w:t xml:space="preserve"> Obszar Chronionego Krajobrazu; </w:t>
      </w:r>
    </w:p>
    <w:p w14:paraId="70C8CECE" w14:textId="77777777" w:rsidR="005B296D" w:rsidRPr="005B296D" w:rsidRDefault="005B296D" w:rsidP="005B296D">
      <w:pPr>
        <w:widowControl/>
        <w:numPr>
          <w:ilvl w:val="0"/>
          <w:numId w:val="10"/>
        </w:numPr>
        <w:autoSpaceDE/>
        <w:autoSpaceDN/>
        <w:adjustRightInd/>
        <w:spacing w:line="360" w:lineRule="auto"/>
        <w:ind w:left="567" w:hanging="567"/>
        <w:contextualSpacing/>
        <w:jc w:val="both"/>
        <w:rPr>
          <w:rFonts w:ascii="Calibri" w:hAnsi="Calibri" w:cs="Calibri"/>
          <w:i w:val="0"/>
          <w:iCs w:val="0"/>
          <w:sz w:val="22"/>
          <w:szCs w:val="22"/>
        </w:rPr>
      </w:pPr>
      <w:r w:rsidRPr="005B296D">
        <w:rPr>
          <w:rFonts w:ascii="Calibri" w:hAnsi="Calibri" w:cs="Calibri"/>
          <w:i w:val="0"/>
          <w:iCs w:val="0"/>
          <w:sz w:val="22"/>
          <w:szCs w:val="22"/>
        </w:rPr>
        <w:t xml:space="preserve">ok. 4,66 km rezerwat przyrody Kwidzyńskie Ostnice. </w:t>
      </w:r>
    </w:p>
    <w:p w14:paraId="62B2975D" w14:textId="77777777" w:rsidR="005B296D" w:rsidRPr="005B296D" w:rsidRDefault="005B296D" w:rsidP="005B296D">
      <w:pPr>
        <w:widowControl/>
        <w:autoSpaceDE/>
        <w:autoSpaceDN/>
        <w:adjustRightInd/>
        <w:spacing w:line="360" w:lineRule="auto"/>
        <w:contextualSpacing/>
        <w:jc w:val="both"/>
        <w:rPr>
          <w:rFonts w:ascii="Calibri" w:hAnsi="Calibri" w:cs="Calibri"/>
          <w:i w:val="0"/>
          <w:iCs w:val="0"/>
          <w:sz w:val="22"/>
          <w:szCs w:val="22"/>
        </w:rPr>
      </w:pPr>
      <w:r w:rsidRPr="005B296D">
        <w:rPr>
          <w:rFonts w:ascii="Calibri" w:hAnsi="Calibri" w:cs="Calibri"/>
          <w:i w:val="0"/>
          <w:iCs w:val="0"/>
          <w:sz w:val="22"/>
          <w:szCs w:val="22"/>
        </w:rPr>
        <w:t xml:space="preserve">Z uwagi  na położenie poza granicami pozostałych obszarów chronionych objętych ochroną na podstawie przepisów ustawy o ochronie przyrody oraz przy uwzględnieniu charakteru i skali inwestycji stwierdzono, że przedsięwzięcie nie narusza przepisów w tym zakresie. </w:t>
      </w:r>
    </w:p>
    <w:p w14:paraId="7865C597" w14:textId="77777777" w:rsidR="005B296D" w:rsidRPr="005B296D" w:rsidRDefault="005B296D" w:rsidP="005B296D">
      <w:pPr>
        <w:widowControl/>
        <w:autoSpaceDE/>
        <w:autoSpaceDN/>
        <w:adjustRightInd/>
        <w:spacing w:line="360" w:lineRule="auto"/>
        <w:contextualSpacing/>
        <w:jc w:val="both"/>
        <w:rPr>
          <w:rFonts w:ascii="Calibri" w:hAnsi="Calibri" w:cs="Calibri"/>
          <w:i w:val="0"/>
          <w:iCs w:val="0"/>
          <w:sz w:val="22"/>
          <w:szCs w:val="22"/>
        </w:rPr>
      </w:pPr>
      <w:r w:rsidRPr="005B296D">
        <w:rPr>
          <w:rFonts w:ascii="Calibri" w:hAnsi="Calibri" w:cs="Calibri"/>
          <w:i w:val="0"/>
          <w:iCs w:val="0"/>
          <w:sz w:val="22"/>
          <w:szCs w:val="22"/>
        </w:rPr>
        <w:t xml:space="preserve">Obszar objęty planowaną inwestycją zlokalizowany jest w obszarze korytarza ekologicznego rangi ponadregionalnej — Doliny Wisły (Plan zagospodarowania przestrzennego województwa  pomorskiego 2030). </w:t>
      </w:r>
    </w:p>
    <w:p w14:paraId="735A26E4" w14:textId="77777777" w:rsidR="005B296D" w:rsidRPr="005B296D" w:rsidRDefault="005B296D" w:rsidP="005B296D">
      <w:pPr>
        <w:widowControl/>
        <w:autoSpaceDE/>
        <w:autoSpaceDN/>
        <w:adjustRightInd/>
        <w:spacing w:line="360" w:lineRule="auto"/>
        <w:contextualSpacing/>
        <w:jc w:val="both"/>
        <w:rPr>
          <w:rFonts w:ascii="Calibri" w:hAnsi="Calibri" w:cs="Calibri"/>
          <w:i w:val="0"/>
          <w:iCs w:val="0"/>
          <w:sz w:val="22"/>
          <w:szCs w:val="22"/>
        </w:rPr>
      </w:pPr>
      <w:r w:rsidRPr="005B296D">
        <w:rPr>
          <w:rFonts w:ascii="Calibri" w:hAnsi="Calibri" w:cs="Calibri"/>
          <w:i w:val="0"/>
          <w:iCs w:val="0"/>
          <w:sz w:val="22"/>
          <w:szCs w:val="22"/>
        </w:rPr>
        <w:lastRenderedPageBreak/>
        <w:t xml:space="preserve">Obszar objęty planowaną inwestycją zlokalizowany poza obszarami korytarzy ekologicznych łączących Europejską Sieć Natura 2000 w Polsce (opracowanie z  2012 r., Zakładu Badania Ssaków PAN w Białowieży - obecnie Instytut Biologii Ssaków PAN) - najbliższy korytarz ekologiczny położony jest w odległości ok. 2,5 km na wschód od granic inwestycji — korytarz ekologiczny Lasy Iławskie — Bory Tucholskie GKPn-14A. </w:t>
      </w:r>
    </w:p>
    <w:p w14:paraId="6492EE8A" w14:textId="77777777" w:rsidR="005B296D" w:rsidRPr="005B296D" w:rsidRDefault="005B296D" w:rsidP="005B296D">
      <w:pPr>
        <w:widowControl/>
        <w:autoSpaceDE/>
        <w:autoSpaceDN/>
        <w:adjustRightInd/>
        <w:spacing w:line="360" w:lineRule="auto"/>
        <w:contextualSpacing/>
        <w:jc w:val="both"/>
        <w:rPr>
          <w:rFonts w:ascii="Calibri" w:hAnsi="Calibri" w:cs="Calibri"/>
          <w:i w:val="0"/>
          <w:iCs w:val="0"/>
          <w:sz w:val="22"/>
          <w:szCs w:val="22"/>
        </w:rPr>
      </w:pPr>
      <w:r w:rsidRPr="005B296D">
        <w:rPr>
          <w:rFonts w:ascii="Calibri" w:hAnsi="Calibri" w:cs="Calibri"/>
          <w:i w:val="0"/>
          <w:iCs w:val="0"/>
          <w:sz w:val="22"/>
          <w:szCs w:val="22"/>
        </w:rPr>
        <w:t xml:space="preserve">Z uwagi na charakter oraz  skalę inwestycji nie spowoduje ona negatywnego oddziaływania na wyżej wymienione korytarze ekologiczne. </w:t>
      </w:r>
    </w:p>
    <w:p w14:paraId="73D60BC1" w14:textId="77777777" w:rsidR="005B296D" w:rsidRPr="005B296D" w:rsidRDefault="005B296D" w:rsidP="005B296D">
      <w:pPr>
        <w:widowControl/>
        <w:autoSpaceDE/>
        <w:autoSpaceDN/>
        <w:adjustRightInd/>
        <w:spacing w:line="360" w:lineRule="auto"/>
        <w:contextualSpacing/>
        <w:jc w:val="both"/>
        <w:rPr>
          <w:rFonts w:ascii="Calibri" w:hAnsi="Calibri" w:cs="Calibri"/>
          <w:b/>
          <w:i w:val="0"/>
          <w:iCs w:val="0"/>
          <w:sz w:val="22"/>
          <w:szCs w:val="22"/>
        </w:rPr>
      </w:pPr>
    </w:p>
    <w:p w14:paraId="758DF354" w14:textId="77777777" w:rsidR="005B296D" w:rsidRPr="005B296D" w:rsidRDefault="005B296D" w:rsidP="005B296D">
      <w:pPr>
        <w:widowControl/>
        <w:autoSpaceDE/>
        <w:autoSpaceDN/>
        <w:adjustRightInd/>
        <w:spacing w:line="360" w:lineRule="auto"/>
        <w:contextualSpacing/>
        <w:jc w:val="both"/>
        <w:rPr>
          <w:rFonts w:ascii="Calibri" w:hAnsi="Calibri" w:cs="Calibri"/>
          <w:b/>
          <w:i w:val="0"/>
          <w:iCs w:val="0"/>
          <w:sz w:val="22"/>
          <w:szCs w:val="22"/>
        </w:rPr>
      </w:pPr>
    </w:p>
    <w:p w14:paraId="61BCE668" w14:textId="77777777" w:rsidR="005B296D" w:rsidRPr="005B296D" w:rsidRDefault="005B296D" w:rsidP="005B296D">
      <w:pPr>
        <w:widowControl/>
        <w:autoSpaceDE/>
        <w:autoSpaceDN/>
        <w:adjustRightInd/>
        <w:spacing w:line="360" w:lineRule="auto"/>
        <w:contextualSpacing/>
        <w:jc w:val="both"/>
        <w:rPr>
          <w:rFonts w:ascii="Calibri" w:hAnsi="Calibri" w:cs="Calibri"/>
          <w:b/>
          <w:i w:val="0"/>
          <w:iCs w:val="0"/>
          <w:sz w:val="22"/>
          <w:szCs w:val="22"/>
        </w:rPr>
      </w:pPr>
    </w:p>
    <w:p w14:paraId="7A1489F4" w14:textId="6FAA6B83" w:rsidR="00DA00AE" w:rsidRPr="005A3D53" w:rsidRDefault="00DA00AE" w:rsidP="00691ED1">
      <w:pPr>
        <w:widowControl/>
        <w:autoSpaceDE/>
        <w:autoSpaceDN/>
        <w:adjustRightInd/>
        <w:spacing w:line="360" w:lineRule="auto"/>
        <w:jc w:val="both"/>
        <w:rPr>
          <w:rFonts w:ascii="Calibri" w:hAnsi="Calibri" w:cs="Calibri"/>
          <w:i w:val="0"/>
          <w:iCs w:val="0"/>
          <w:sz w:val="22"/>
          <w:szCs w:val="22"/>
        </w:rPr>
      </w:pPr>
      <w:bookmarkStart w:id="0" w:name="_GoBack"/>
      <w:bookmarkEnd w:id="0"/>
    </w:p>
    <w:sectPr w:rsidR="00DA00AE" w:rsidRPr="005A3D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F3573"/>
    <w:multiLevelType w:val="hybridMultilevel"/>
    <w:tmpl w:val="07EC44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9AA1C28"/>
    <w:multiLevelType w:val="hybridMultilevel"/>
    <w:tmpl w:val="C338DD58"/>
    <w:lvl w:ilvl="0" w:tplc="8EB088C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4C36C3F"/>
    <w:multiLevelType w:val="hybridMultilevel"/>
    <w:tmpl w:val="E0A6CF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D552636"/>
    <w:multiLevelType w:val="hybridMultilevel"/>
    <w:tmpl w:val="4D8690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96864B4"/>
    <w:multiLevelType w:val="hybridMultilevel"/>
    <w:tmpl w:val="C23A9F06"/>
    <w:lvl w:ilvl="0" w:tplc="8EB088C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53E00AF1"/>
    <w:multiLevelType w:val="hybridMultilevel"/>
    <w:tmpl w:val="98009E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63377531"/>
    <w:multiLevelType w:val="hybridMultilevel"/>
    <w:tmpl w:val="FB020C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54A2733"/>
    <w:multiLevelType w:val="hybridMultilevel"/>
    <w:tmpl w:val="21BA61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6D442584"/>
    <w:multiLevelType w:val="hybridMultilevel"/>
    <w:tmpl w:val="C5D6158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nsid w:val="6F8216C7"/>
    <w:multiLevelType w:val="hybridMultilevel"/>
    <w:tmpl w:val="5826FF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2"/>
  </w:num>
  <w:num w:numId="6">
    <w:abstractNumId w:val="8"/>
  </w:num>
  <w:num w:numId="7">
    <w:abstractNumId w:val="4"/>
  </w:num>
  <w:num w:numId="8">
    <w:abstractNumId w:val="9"/>
  </w:num>
  <w:num w:numId="9">
    <w:abstractNumId w:val="7"/>
  </w:num>
  <w:num w:numId="1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63D"/>
    <w:rsid w:val="0000163D"/>
    <w:rsid w:val="000054E7"/>
    <w:rsid w:val="00012B9F"/>
    <w:rsid w:val="000215C9"/>
    <w:rsid w:val="00077303"/>
    <w:rsid w:val="000A1B0A"/>
    <w:rsid w:val="000C3EE3"/>
    <w:rsid w:val="000D0A43"/>
    <w:rsid w:val="001447A7"/>
    <w:rsid w:val="001626F4"/>
    <w:rsid w:val="00172C43"/>
    <w:rsid w:val="001F2A93"/>
    <w:rsid w:val="00211234"/>
    <w:rsid w:val="00213D22"/>
    <w:rsid w:val="00245D4E"/>
    <w:rsid w:val="00281477"/>
    <w:rsid w:val="002A7C79"/>
    <w:rsid w:val="003403F9"/>
    <w:rsid w:val="0035188C"/>
    <w:rsid w:val="00351E51"/>
    <w:rsid w:val="00383B24"/>
    <w:rsid w:val="003A66AF"/>
    <w:rsid w:val="003E0CD4"/>
    <w:rsid w:val="00520504"/>
    <w:rsid w:val="005239C8"/>
    <w:rsid w:val="005A3D53"/>
    <w:rsid w:val="005B296D"/>
    <w:rsid w:val="00640AE3"/>
    <w:rsid w:val="006436B8"/>
    <w:rsid w:val="00691ED1"/>
    <w:rsid w:val="006A53BF"/>
    <w:rsid w:val="006E7441"/>
    <w:rsid w:val="006F2E4E"/>
    <w:rsid w:val="00750558"/>
    <w:rsid w:val="007C2A12"/>
    <w:rsid w:val="007F24FE"/>
    <w:rsid w:val="0084654B"/>
    <w:rsid w:val="00850185"/>
    <w:rsid w:val="008E799E"/>
    <w:rsid w:val="008F364B"/>
    <w:rsid w:val="0091318D"/>
    <w:rsid w:val="009378AE"/>
    <w:rsid w:val="0095340C"/>
    <w:rsid w:val="00977519"/>
    <w:rsid w:val="009A7DC7"/>
    <w:rsid w:val="009B0DBA"/>
    <w:rsid w:val="009B5934"/>
    <w:rsid w:val="009B6C9B"/>
    <w:rsid w:val="009C117B"/>
    <w:rsid w:val="009D740F"/>
    <w:rsid w:val="00A04CA9"/>
    <w:rsid w:val="00A06B09"/>
    <w:rsid w:val="00A2667A"/>
    <w:rsid w:val="00B73CA3"/>
    <w:rsid w:val="00BC5470"/>
    <w:rsid w:val="00C15C01"/>
    <w:rsid w:val="00C77FEC"/>
    <w:rsid w:val="00CA4D7B"/>
    <w:rsid w:val="00CC0094"/>
    <w:rsid w:val="00CD31D6"/>
    <w:rsid w:val="00D22F9B"/>
    <w:rsid w:val="00D76DC1"/>
    <w:rsid w:val="00D9258B"/>
    <w:rsid w:val="00DA00AE"/>
    <w:rsid w:val="00DA5D71"/>
    <w:rsid w:val="00E414CA"/>
    <w:rsid w:val="00E43991"/>
    <w:rsid w:val="00E54D5F"/>
    <w:rsid w:val="00E62623"/>
    <w:rsid w:val="00EC35AC"/>
    <w:rsid w:val="00EF4D7C"/>
    <w:rsid w:val="00F05A52"/>
    <w:rsid w:val="00F35072"/>
    <w:rsid w:val="00F85B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90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163D"/>
    <w:pPr>
      <w:widowControl w:val="0"/>
      <w:autoSpaceDE w:val="0"/>
      <w:autoSpaceDN w:val="0"/>
      <w:adjustRightInd w:val="0"/>
      <w:spacing w:after="0" w:line="240" w:lineRule="auto"/>
    </w:pPr>
    <w:rPr>
      <w:rFonts w:ascii="Arial" w:eastAsia="Times New Roman" w:hAnsi="Arial" w:cs="Arial"/>
      <w:i/>
      <w:i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rsid w:val="0000163D"/>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Default">
    <w:name w:val="Default"/>
    <w:rsid w:val="00CC0094"/>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basedOn w:val="Normalny"/>
    <w:uiPriority w:val="34"/>
    <w:qFormat/>
    <w:rsid w:val="00CC0094"/>
    <w:pPr>
      <w:ind w:left="720"/>
      <w:contextualSpacing/>
    </w:pPr>
  </w:style>
  <w:style w:type="paragraph" w:styleId="Tekstdymka">
    <w:name w:val="Balloon Text"/>
    <w:basedOn w:val="Normalny"/>
    <w:link w:val="TekstdymkaZnak"/>
    <w:uiPriority w:val="99"/>
    <w:semiHidden/>
    <w:unhideWhenUsed/>
    <w:rsid w:val="00213D22"/>
    <w:rPr>
      <w:rFonts w:ascii="Tahoma" w:hAnsi="Tahoma" w:cs="Tahoma"/>
      <w:sz w:val="16"/>
      <w:szCs w:val="16"/>
    </w:rPr>
  </w:style>
  <w:style w:type="character" w:customStyle="1" w:styleId="TekstdymkaZnak">
    <w:name w:val="Tekst dymka Znak"/>
    <w:basedOn w:val="Domylnaczcionkaakapitu"/>
    <w:link w:val="Tekstdymka"/>
    <w:uiPriority w:val="99"/>
    <w:semiHidden/>
    <w:rsid w:val="00213D22"/>
    <w:rPr>
      <w:rFonts w:ascii="Tahoma" w:eastAsia="Times New Roman" w:hAnsi="Tahoma" w:cs="Tahoma"/>
      <w:i/>
      <w:iCs/>
      <w:sz w:val="16"/>
      <w:szCs w:val="16"/>
      <w:lang w:eastAsia="pl-PL"/>
    </w:rPr>
  </w:style>
  <w:style w:type="paragraph" w:customStyle="1" w:styleId="Style12">
    <w:name w:val="Style12"/>
    <w:basedOn w:val="Normalny"/>
    <w:uiPriority w:val="99"/>
    <w:rsid w:val="00BC5470"/>
    <w:pPr>
      <w:spacing w:line="317" w:lineRule="exact"/>
      <w:ind w:firstLine="706"/>
      <w:jc w:val="both"/>
    </w:pPr>
    <w:rPr>
      <w:rFonts w:ascii="Times New Roman" w:hAnsi="Times New Roman" w:cs="Times New Roman"/>
      <w:i w:val="0"/>
      <w:iCs w:val="0"/>
      <w:sz w:val="24"/>
      <w:szCs w:val="24"/>
    </w:rPr>
  </w:style>
  <w:style w:type="paragraph" w:customStyle="1" w:styleId="Style6">
    <w:name w:val="Style6"/>
    <w:basedOn w:val="Normalny"/>
    <w:uiPriority w:val="99"/>
    <w:rsid w:val="00BC5470"/>
    <w:pPr>
      <w:spacing w:line="310" w:lineRule="exact"/>
      <w:ind w:hanging="346"/>
      <w:jc w:val="both"/>
    </w:pPr>
    <w:rPr>
      <w:rFonts w:ascii="Times New Roman" w:hAnsi="Times New Roman" w:cs="Times New Roman"/>
      <w:i w:val="0"/>
      <w:iCs w:val="0"/>
      <w:sz w:val="24"/>
      <w:szCs w:val="24"/>
    </w:rPr>
  </w:style>
  <w:style w:type="paragraph" w:customStyle="1" w:styleId="Style2">
    <w:name w:val="Style2"/>
    <w:basedOn w:val="Normalny"/>
    <w:uiPriority w:val="99"/>
    <w:rsid w:val="00BC5470"/>
    <w:pPr>
      <w:spacing w:line="259" w:lineRule="exact"/>
      <w:jc w:val="both"/>
    </w:pPr>
    <w:rPr>
      <w:rFonts w:ascii="Times New Roman" w:hAnsi="Times New Roman" w:cs="Times New Roman"/>
      <w:i w:val="0"/>
      <w:iCs w:val="0"/>
      <w:sz w:val="24"/>
      <w:szCs w:val="24"/>
    </w:rPr>
  </w:style>
  <w:style w:type="paragraph" w:customStyle="1" w:styleId="Style3">
    <w:name w:val="Style3"/>
    <w:basedOn w:val="Normalny"/>
    <w:uiPriority w:val="99"/>
    <w:rsid w:val="00BC5470"/>
    <w:rPr>
      <w:rFonts w:ascii="Times New Roman" w:hAnsi="Times New Roman" w:cs="Times New Roman"/>
      <w:i w:val="0"/>
      <w:i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163D"/>
    <w:pPr>
      <w:widowControl w:val="0"/>
      <w:autoSpaceDE w:val="0"/>
      <w:autoSpaceDN w:val="0"/>
      <w:adjustRightInd w:val="0"/>
      <w:spacing w:after="0" w:line="240" w:lineRule="auto"/>
    </w:pPr>
    <w:rPr>
      <w:rFonts w:ascii="Arial" w:eastAsia="Times New Roman" w:hAnsi="Arial" w:cs="Arial"/>
      <w:i/>
      <w:i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rsid w:val="0000163D"/>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Default">
    <w:name w:val="Default"/>
    <w:rsid w:val="00CC0094"/>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basedOn w:val="Normalny"/>
    <w:uiPriority w:val="34"/>
    <w:qFormat/>
    <w:rsid w:val="00CC0094"/>
    <w:pPr>
      <w:ind w:left="720"/>
      <w:contextualSpacing/>
    </w:pPr>
  </w:style>
  <w:style w:type="paragraph" w:styleId="Tekstdymka">
    <w:name w:val="Balloon Text"/>
    <w:basedOn w:val="Normalny"/>
    <w:link w:val="TekstdymkaZnak"/>
    <w:uiPriority w:val="99"/>
    <w:semiHidden/>
    <w:unhideWhenUsed/>
    <w:rsid w:val="00213D22"/>
    <w:rPr>
      <w:rFonts w:ascii="Tahoma" w:hAnsi="Tahoma" w:cs="Tahoma"/>
      <w:sz w:val="16"/>
      <w:szCs w:val="16"/>
    </w:rPr>
  </w:style>
  <w:style w:type="character" w:customStyle="1" w:styleId="TekstdymkaZnak">
    <w:name w:val="Tekst dymka Znak"/>
    <w:basedOn w:val="Domylnaczcionkaakapitu"/>
    <w:link w:val="Tekstdymka"/>
    <w:uiPriority w:val="99"/>
    <w:semiHidden/>
    <w:rsid w:val="00213D22"/>
    <w:rPr>
      <w:rFonts w:ascii="Tahoma" w:eastAsia="Times New Roman" w:hAnsi="Tahoma" w:cs="Tahoma"/>
      <w:i/>
      <w:iCs/>
      <w:sz w:val="16"/>
      <w:szCs w:val="16"/>
      <w:lang w:eastAsia="pl-PL"/>
    </w:rPr>
  </w:style>
  <w:style w:type="paragraph" w:customStyle="1" w:styleId="Style12">
    <w:name w:val="Style12"/>
    <w:basedOn w:val="Normalny"/>
    <w:uiPriority w:val="99"/>
    <w:rsid w:val="00BC5470"/>
    <w:pPr>
      <w:spacing w:line="317" w:lineRule="exact"/>
      <w:ind w:firstLine="706"/>
      <w:jc w:val="both"/>
    </w:pPr>
    <w:rPr>
      <w:rFonts w:ascii="Times New Roman" w:hAnsi="Times New Roman" w:cs="Times New Roman"/>
      <w:i w:val="0"/>
      <w:iCs w:val="0"/>
      <w:sz w:val="24"/>
      <w:szCs w:val="24"/>
    </w:rPr>
  </w:style>
  <w:style w:type="paragraph" w:customStyle="1" w:styleId="Style6">
    <w:name w:val="Style6"/>
    <w:basedOn w:val="Normalny"/>
    <w:uiPriority w:val="99"/>
    <w:rsid w:val="00BC5470"/>
    <w:pPr>
      <w:spacing w:line="310" w:lineRule="exact"/>
      <w:ind w:hanging="346"/>
      <w:jc w:val="both"/>
    </w:pPr>
    <w:rPr>
      <w:rFonts w:ascii="Times New Roman" w:hAnsi="Times New Roman" w:cs="Times New Roman"/>
      <w:i w:val="0"/>
      <w:iCs w:val="0"/>
      <w:sz w:val="24"/>
      <w:szCs w:val="24"/>
    </w:rPr>
  </w:style>
  <w:style w:type="paragraph" w:customStyle="1" w:styleId="Style2">
    <w:name w:val="Style2"/>
    <w:basedOn w:val="Normalny"/>
    <w:uiPriority w:val="99"/>
    <w:rsid w:val="00BC5470"/>
    <w:pPr>
      <w:spacing w:line="259" w:lineRule="exact"/>
      <w:jc w:val="both"/>
    </w:pPr>
    <w:rPr>
      <w:rFonts w:ascii="Times New Roman" w:hAnsi="Times New Roman" w:cs="Times New Roman"/>
      <w:i w:val="0"/>
      <w:iCs w:val="0"/>
      <w:sz w:val="24"/>
      <w:szCs w:val="24"/>
    </w:rPr>
  </w:style>
  <w:style w:type="paragraph" w:customStyle="1" w:styleId="Style3">
    <w:name w:val="Style3"/>
    <w:basedOn w:val="Normalny"/>
    <w:uiPriority w:val="99"/>
    <w:rsid w:val="00BC5470"/>
    <w:rPr>
      <w:rFonts w:ascii="Times New Roman" w:hAnsi="Times New Roman" w:cs="Times New Roman"/>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CD5FF-27E4-4EB9-943C-FE1993A80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1175</Words>
  <Characters>7055</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zczarnuch</dc:creator>
  <cp:lastModifiedBy>Zaneta Czarnuch</cp:lastModifiedBy>
  <cp:revision>2</cp:revision>
  <cp:lastPrinted>2018-12-12T13:27:00Z</cp:lastPrinted>
  <dcterms:created xsi:type="dcterms:W3CDTF">2022-09-06T11:21:00Z</dcterms:created>
  <dcterms:modified xsi:type="dcterms:W3CDTF">2022-09-06T11:21:00Z</dcterms:modified>
</cp:coreProperties>
</file>