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.201</w:t>
      </w:r>
      <w:r w:rsidR="00EE70D1" w:rsidRPr="00F34243">
        <w:rPr>
          <w:rFonts w:cs="Calibri,Bold"/>
          <w:b/>
          <w:bCs/>
        </w:rPr>
        <w:t>5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 xml:space="preserve">Ewę Nowogrodzką – Wójta Gminy Kwidzyn, </w:t>
      </w:r>
      <w:r w:rsidRPr="00F34243">
        <w:rPr>
          <w:rFonts w:cs="Calibri"/>
        </w:rPr>
        <w:br/>
        <w:t xml:space="preserve">przy kontrasygnacie Krystyny Jaranowskiej 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bookmarkStart w:id="0" w:name="_GoBack"/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bookmarkEnd w:id="0"/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163394" w:rsidRPr="00F34243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  <w:color w:val="000000"/>
        </w:rPr>
        <w:t>usuwanie zatorów śnieżnych na drogach przy użyciu sprzętu ciężkiego</w:t>
      </w:r>
      <w:r w:rsidR="005F1B5E" w:rsidRPr="00F34243">
        <w:rPr>
          <w:rFonts w:cs="Calibri"/>
          <w:color w:val="000000"/>
        </w:rPr>
        <w:t>,</w:t>
      </w:r>
      <w:r w:rsidRPr="00F34243">
        <w:rPr>
          <w:rFonts w:cs="Calibri"/>
          <w:color w:val="000000"/>
        </w:rPr>
        <w:t xml:space="preserve"> tj.</w:t>
      </w:r>
      <w:r w:rsidR="005F1B5E" w:rsidRPr="00F34243">
        <w:rPr>
          <w:rFonts w:cs="Calibri"/>
          <w:color w:val="000000"/>
        </w:rPr>
        <w:t> </w:t>
      </w:r>
      <w:r w:rsidRPr="00F34243">
        <w:rPr>
          <w:rFonts w:cs="Calibri"/>
          <w:color w:val="000000"/>
        </w:rPr>
        <w:t>ładowarką o pojemności łyżki nie mniejszej niż 0,8 m</w:t>
      </w:r>
      <w:r w:rsidRPr="00F34243">
        <w:rPr>
          <w:rFonts w:cs="Calibri"/>
          <w:color w:val="000000"/>
          <w:vertAlign w:val="superscript"/>
        </w:rPr>
        <w:t>3</w:t>
      </w:r>
      <w:r w:rsidR="005F1B5E" w:rsidRPr="00F34243">
        <w:rPr>
          <w:rFonts w:cs="Calibri"/>
          <w:color w:val="000000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lastRenderedPageBreak/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 xml:space="preserve">podpisania umowy </w:t>
      </w:r>
      <w:r w:rsidR="005F1B5E" w:rsidRPr="00F34243">
        <w:rPr>
          <w:rFonts w:cs="Calibri,Bold"/>
          <w:b/>
          <w:bCs/>
        </w:rPr>
        <w:br/>
      </w:r>
      <w:r w:rsidR="00DD48A6" w:rsidRPr="00F34243">
        <w:rPr>
          <w:rFonts w:cs="Calibri,Bold"/>
          <w:b/>
          <w:bCs/>
        </w:rPr>
        <w:t>do 30 </w:t>
      </w:r>
      <w:r w:rsidRPr="00F34243">
        <w:rPr>
          <w:rFonts w:cs="Calibri,Bold"/>
          <w:b/>
          <w:bCs/>
        </w:rPr>
        <w:t>kwietnia 201</w:t>
      </w:r>
      <w:r w:rsidR="00EE70D1" w:rsidRPr="00F34243">
        <w:rPr>
          <w:rFonts w:cs="Calibri,Bold"/>
          <w:b/>
          <w:bCs/>
        </w:rPr>
        <w:t>6</w:t>
      </w:r>
      <w:r w:rsidRPr="00F34243">
        <w:rPr>
          <w:rFonts w:cs="Calibri,Bold"/>
          <w:b/>
          <w:bCs/>
        </w:rPr>
        <w:t xml:space="preserve"> 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 xml:space="preserve">…………………………… – pracownik Urzędu Gminy Kwidzyn, tel. ……………………. 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lastRenderedPageBreak/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9D5BC0" w:rsidRPr="00F34243" w:rsidRDefault="009D5BC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E54688" w:rsidRPr="00F34243">
        <w:br/>
      </w:r>
      <w:r w:rsidRPr="00F34243">
        <w:rPr>
          <w:b/>
        </w:rPr>
        <w:t>Urząd Gminy Kwidzyn, ul. Grudziądzka 30, 82-500 Kwidzyn, NIP: 581-11-34-429</w:t>
      </w:r>
      <w:r w:rsidRPr="00F34243">
        <w:rPr>
          <w:rFonts w:cs="Calibri"/>
        </w:rPr>
        <w:t>.</w:t>
      </w: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Pierwsza faktura za wykonane usługi będzie złożona Zamawiającemu w miesiącu styczniu 201</w:t>
      </w:r>
      <w:r w:rsidR="00EE70D1" w:rsidRPr="00F34243">
        <w:rPr>
          <w:rFonts w:cs="Calibri"/>
        </w:rPr>
        <w:t>6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Pr="00F34243" w:rsidRDefault="00AB1F29" w:rsidP="00C0224D">
      <w:pPr>
        <w:ind w:firstLine="708"/>
        <w:rPr>
          <w:rFonts w:cs="Calibri,Bold"/>
          <w:b/>
          <w:bCs/>
        </w:rPr>
      </w:pP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do p. Lis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Janowo na wale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działki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Default="00707F65" w:rsidP="00707F65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Default="00707F65" w:rsidP="00707F65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k/Włodarczyk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Korzeniewo, ul. Łąkowa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osiedle, Korzeniewo Ceglana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Kwiatowa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 Jesionowa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Nadrzeczna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11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osiedle, Mareza Rajska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12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do Tul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13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Mareza-Korzeniewo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14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 Obory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15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ul. Długa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16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Sielska i ul. Krótka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17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Mareza, ul. Polna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ul. Piekarska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Rozpędziny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Plac zabaw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Nowa Wieś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do p. </w:t>
            </w:r>
            <w:proofErr w:type="spellStart"/>
            <w:r>
              <w:t>Namiaka</w:t>
            </w:r>
            <w:proofErr w:type="spellEnd"/>
            <w:r>
              <w:t xml:space="preserve"> i Marchlewskich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– Podzamcze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osiedle i za wsią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p. Mazur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osiedla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do jeziora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 xml:space="preserve">9 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listonosza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Baldram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do kolejowego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i Brokowo 1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centrum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Górki Misericordia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Górki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C4" w:rsidRDefault="004266C4">
      <w:pPr>
        <w:spacing w:after="0" w:line="240" w:lineRule="auto"/>
      </w:pPr>
      <w:r>
        <w:separator/>
      </w:r>
    </w:p>
  </w:endnote>
  <w:endnote w:type="continuationSeparator" w:id="0">
    <w:p w:rsidR="004266C4" w:rsidRDefault="0042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F95C1F">
          <w:rPr>
            <w:rFonts w:asciiTheme="majorHAnsi" w:hAnsiTheme="majorHAnsi"/>
            <w:noProof/>
            <w:sz w:val="16"/>
          </w:rPr>
          <w:t>1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C4" w:rsidRDefault="004266C4">
      <w:pPr>
        <w:spacing w:after="0" w:line="240" w:lineRule="auto"/>
      </w:pPr>
      <w:r>
        <w:separator/>
      </w:r>
    </w:p>
  </w:footnote>
  <w:footnote w:type="continuationSeparator" w:id="0">
    <w:p w:rsidR="004266C4" w:rsidRDefault="0042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110822"/>
    <w:rsid w:val="00163394"/>
    <w:rsid w:val="00243FA1"/>
    <w:rsid w:val="00281331"/>
    <w:rsid w:val="00352B42"/>
    <w:rsid w:val="00356866"/>
    <w:rsid w:val="004266C4"/>
    <w:rsid w:val="00532170"/>
    <w:rsid w:val="005F1B5E"/>
    <w:rsid w:val="00626185"/>
    <w:rsid w:val="00665FC4"/>
    <w:rsid w:val="006705FD"/>
    <w:rsid w:val="00691CA5"/>
    <w:rsid w:val="00707F65"/>
    <w:rsid w:val="0072441E"/>
    <w:rsid w:val="00755824"/>
    <w:rsid w:val="007D4307"/>
    <w:rsid w:val="007F6FF0"/>
    <w:rsid w:val="0080719B"/>
    <w:rsid w:val="008C0962"/>
    <w:rsid w:val="008C535B"/>
    <w:rsid w:val="00926859"/>
    <w:rsid w:val="0094031E"/>
    <w:rsid w:val="009D5BC0"/>
    <w:rsid w:val="00A17589"/>
    <w:rsid w:val="00AB1F29"/>
    <w:rsid w:val="00B16874"/>
    <w:rsid w:val="00BA4B79"/>
    <w:rsid w:val="00C0224D"/>
    <w:rsid w:val="00C703B2"/>
    <w:rsid w:val="00CC30CD"/>
    <w:rsid w:val="00CD0DF0"/>
    <w:rsid w:val="00CE1A5E"/>
    <w:rsid w:val="00CF433F"/>
    <w:rsid w:val="00D9024A"/>
    <w:rsid w:val="00DD48A6"/>
    <w:rsid w:val="00DE5A7D"/>
    <w:rsid w:val="00E1671B"/>
    <w:rsid w:val="00E54688"/>
    <w:rsid w:val="00EE70D1"/>
    <w:rsid w:val="00F01262"/>
    <w:rsid w:val="00F31F6C"/>
    <w:rsid w:val="00F34243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9</cp:revision>
  <cp:lastPrinted>2015-11-24T07:32:00Z</cp:lastPrinted>
  <dcterms:created xsi:type="dcterms:W3CDTF">2015-11-23T12:22:00Z</dcterms:created>
  <dcterms:modified xsi:type="dcterms:W3CDTF">2015-11-24T07:34:00Z</dcterms:modified>
</cp:coreProperties>
</file>