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4C" w:rsidRDefault="002B314C" w:rsidP="002B314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2B314C" w:rsidRDefault="002B314C" w:rsidP="002B314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2B314C" w:rsidRDefault="002B314C" w:rsidP="002B314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2016r. poz. 778 z późn. zmianami) </w:t>
      </w:r>
    </w:p>
    <w:p w:rsidR="002B314C" w:rsidRDefault="002B314C" w:rsidP="002B314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2B314C" w:rsidRDefault="002B314C" w:rsidP="002B314C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z dnia 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 sierpnia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2016r. </w:t>
      </w:r>
      <w:r>
        <w:rPr>
          <w:rFonts w:asciiTheme="minorHAnsi" w:hAnsiTheme="minorHAnsi"/>
          <w:sz w:val="22"/>
          <w:szCs w:val="22"/>
        </w:rPr>
        <w:t xml:space="preserve">Pana </w:t>
      </w:r>
      <w:r>
        <w:rPr>
          <w:rFonts w:asciiTheme="minorHAnsi" w:hAnsiTheme="minorHAnsi"/>
          <w:sz w:val="22"/>
          <w:szCs w:val="22"/>
        </w:rPr>
        <w:t>Tomasza Kasprowicza Biuro Projektowe „ELTOM”, ul. Kwidzyńska 9, 14-200 Iława</w:t>
      </w:r>
      <w:r>
        <w:rPr>
          <w:rFonts w:asciiTheme="minorHAnsi" w:hAnsiTheme="minorHAnsi"/>
          <w:sz w:val="22"/>
          <w:szCs w:val="22"/>
        </w:rPr>
        <w:t xml:space="preserve"> działającego na podstawie udzielonego pełnomocnictwa przez Energa-Operator SA Oddział w Olsztynie,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decyzja Nr GP-ULICP-2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/2016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4 października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 roku (sygn. GP.I. 6733.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.2016) ustalająca lokalizację inwestycji celu publicznego dla inwestycji polegającej na: "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udowie linii kablowej </w:t>
      </w:r>
      <w:proofErr w:type="spellStart"/>
      <w:r>
        <w:rPr>
          <w:rFonts w:asciiTheme="minorHAnsi" w:hAnsiTheme="minorHAnsi"/>
          <w:sz w:val="22"/>
          <w:szCs w:val="22"/>
        </w:rPr>
        <w:t>nn</w:t>
      </w:r>
      <w:proofErr w:type="spellEnd"/>
      <w:r>
        <w:rPr>
          <w:rFonts w:asciiTheme="minorHAnsi" w:hAnsiTheme="minorHAnsi"/>
          <w:sz w:val="22"/>
          <w:szCs w:val="22"/>
        </w:rPr>
        <w:t xml:space="preserve"> 0,4kV wraz z szafką pomiarową </w:t>
      </w:r>
      <w:r>
        <w:rPr>
          <w:rFonts w:asciiTheme="minorHAnsi" w:hAnsiTheme="minorHAnsi"/>
          <w:sz w:val="22"/>
          <w:szCs w:val="22"/>
        </w:rPr>
        <w:t>na terenie dział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nr </w:t>
      </w:r>
      <w:r>
        <w:rPr>
          <w:rFonts w:asciiTheme="minorHAnsi" w:hAnsiTheme="minorHAnsi"/>
          <w:sz w:val="22"/>
          <w:szCs w:val="22"/>
        </w:rPr>
        <w:t xml:space="preserve">516, 647/1 i 647/2 położonych </w:t>
      </w:r>
      <w:r>
        <w:rPr>
          <w:rFonts w:asciiTheme="minorHAnsi" w:hAnsiTheme="minorHAnsi"/>
          <w:sz w:val="22"/>
          <w:szCs w:val="22"/>
        </w:rPr>
        <w:t xml:space="preserve">w obrębie </w:t>
      </w:r>
      <w:r>
        <w:rPr>
          <w:rFonts w:asciiTheme="minorHAnsi" w:hAnsiTheme="minorHAnsi"/>
          <w:sz w:val="22"/>
          <w:szCs w:val="22"/>
        </w:rPr>
        <w:t>geodezyjnym Mareza</w:t>
      </w:r>
      <w:r>
        <w:rPr>
          <w:rFonts w:asciiTheme="minorHAnsi" w:hAnsiTheme="minorHAnsi"/>
          <w:sz w:val="22"/>
          <w:szCs w:val="22"/>
        </w:rPr>
        <w:t>, gmina Kwidzyn”.</w:t>
      </w:r>
    </w:p>
    <w:p w:rsidR="002B314C" w:rsidRDefault="002B314C" w:rsidP="002B314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 </w:t>
      </w:r>
    </w:p>
    <w:p w:rsidR="002B314C" w:rsidRDefault="002B314C" w:rsidP="002B314C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2B314C" w:rsidRDefault="002B314C" w:rsidP="002B314C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4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.10.2016r. </w:t>
      </w:r>
    </w:p>
    <w:p w:rsidR="002B314C" w:rsidRDefault="002B314C" w:rsidP="002B314C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2B314C" w:rsidRDefault="002B314C" w:rsidP="002B314C"/>
    <w:p w:rsidR="002B314C" w:rsidRDefault="002B314C" w:rsidP="002B314C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91"/>
    <w:rsid w:val="00186F8A"/>
    <w:rsid w:val="002B314C"/>
    <w:rsid w:val="003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dcterms:created xsi:type="dcterms:W3CDTF">2016-10-04T06:20:00Z</dcterms:created>
  <dcterms:modified xsi:type="dcterms:W3CDTF">2016-10-04T06:29:00Z</dcterms:modified>
</cp:coreProperties>
</file>