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69" w:rsidRPr="00CB7B94" w:rsidRDefault="00F96869" w:rsidP="00F96869">
      <w:pPr>
        <w:jc w:val="right"/>
      </w:pPr>
      <w:r w:rsidRPr="00CB7B94">
        <w:t xml:space="preserve">Kwidzyn, dnia </w:t>
      </w:r>
      <w:r>
        <w:t>7 września 2012r.</w:t>
      </w:r>
    </w:p>
    <w:p w:rsidR="00F96869" w:rsidRPr="00CB7B94" w:rsidRDefault="00F96869" w:rsidP="00F96869">
      <w:r w:rsidRPr="00CB7B94">
        <w:t>GP</w:t>
      </w:r>
      <w:r>
        <w:t>.II</w:t>
      </w:r>
      <w:r w:rsidRPr="00CB7B94">
        <w:t xml:space="preserve"> </w:t>
      </w:r>
      <w:r>
        <w:t>6733.9.2012</w:t>
      </w:r>
    </w:p>
    <w:p w:rsidR="00F96869" w:rsidRPr="00CB7B94" w:rsidRDefault="00F96869" w:rsidP="00F96869"/>
    <w:p w:rsidR="00F96869" w:rsidRPr="001B021D" w:rsidRDefault="00F96869" w:rsidP="00F96869">
      <w:pPr>
        <w:jc w:val="center"/>
        <w:rPr>
          <w:b/>
          <w:sz w:val="28"/>
          <w:szCs w:val="28"/>
        </w:rPr>
      </w:pPr>
      <w:r w:rsidRPr="001B021D">
        <w:rPr>
          <w:b/>
          <w:smallCaps/>
          <w:sz w:val="28"/>
          <w:szCs w:val="28"/>
        </w:rPr>
        <w:t>Decyzja</w:t>
      </w:r>
      <w:r w:rsidRPr="001B0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GP-ULICP-7/2012</w:t>
      </w:r>
    </w:p>
    <w:p w:rsidR="00F96869" w:rsidRPr="00CB7B94" w:rsidRDefault="00F96869" w:rsidP="00F96869">
      <w:pPr>
        <w:jc w:val="center"/>
        <w:rPr>
          <w:b/>
        </w:rPr>
      </w:pPr>
    </w:p>
    <w:p w:rsidR="00F96869" w:rsidRPr="00CB7B94" w:rsidRDefault="00F96869" w:rsidP="00F96869">
      <w:pPr>
        <w:jc w:val="both"/>
      </w:pPr>
      <w:r w:rsidRPr="00CB7B94">
        <w:tab/>
      </w:r>
      <w:r w:rsidRPr="006A4A77">
        <w:t xml:space="preserve">Na podstawie art. 104 ustawy z dnia 14 czerwca 1960 r. – Kodeks postępowania administracyjnego (Dz. U. z 2000 r. Nr 98, poz. 1071 z </w:t>
      </w:r>
      <w:proofErr w:type="spellStart"/>
      <w:r w:rsidRPr="006A4A77">
        <w:t>późn</w:t>
      </w:r>
      <w:proofErr w:type="spellEnd"/>
      <w:r w:rsidRPr="006A4A77">
        <w:t xml:space="preserve">. zmianami), art. 4 ust. 2  pkt 1, art. 52, art. 53 ust. 1, 3-5, art. 54-56, ustawy z dnia 27 marca 2003 r. </w:t>
      </w:r>
      <w:r>
        <w:t>o</w:t>
      </w:r>
      <w:r w:rsidRPr="006A4A77">
        <w:t xml:space="preserve"> planowaniu </w:t>
      </w:r>
      <w:r w:rsidRPr="006A4A77">
        <w:br/>
        <w:t xml:space="preserve">i zagospodarowaniu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</w:t>
      </w:r>
      <w:r w:rsidRPr="006A4A77">
        <w:t xml:space="preserve"> oraz §2, §3 rozporządzenia Ministra Infrastruktury z dnia 26 sierpnia 2003 r. w sprawie oznaczeń i nazewnictwa stosowanych w decyzji o ustaleniu lokalizacji i</w:t>
      </w:r>
      <w:r>
        <w:t xml:space="preserve">nwestycji celu publicznego oraz </w:t>
      </w:r>
      <w:r w:rsidRPr="006A4A77">
        <w:t>w decyzji o warunkach zabudowy (Dz. U. Nr 164, poz. 1589),</w:t>
      </w:r>
    </w:p>
    <w:p w:rsidR="00F96869" w:rsidRPr="00CB7B94" w:rsidRDefault="00F96869" w:rsidP="00F96869">
      <w:pPr>
        <w:jc w:val="both"/>
      </w:pPr>
    </w:p>
    <w:p w:rsidR="00F96869" w:rsidRPr="00B05ADF" w:rsidRDefault="00F96869" w:rsidP="00F96869">
      <w:pPr>
        <w:jc w:val="center"/>
      </w:pPr>
      <w:r w:rsidRPr="00CB7B94">
        <w:t xml:space="preserve">Po rozpatrzeniu wniosku z dnia </w:t>
      </w:r>
      <w:r w:rsidRPr="00B05ADF">
        <w:t xml:space="preserve">13 lipca 2012 roku </w:t>
      </w:r>
    </w:p>
    <w:p w:rsidR="00F96869" w:rsidRPr="00F0461C" w:rsidRDefault="00F96869" w:rsidP="00F96869">
      <w:pPr>
        <w:jc w:val="center"/>
        <w:rPr>
          <w:b/>
        </w:rPr>
      </w:pPr>
      <w:r w:rsidRPr="00B05ADF">
        <w:rPr>
          <w:b/>
        </w:rPr>
        <w:t>Gminy Kwidzyn, ul. Grudziądzka 30, 82 – 500 Kwidzyn</w:t>
      </w:r>
    </w:p>
    <w:p w:rsidR="00F96869" w:rsidRDefault="00F96869" w:rsidP="00F96869">
      <w:pPr>
        <w:jc w:val="center"/>
        <w:rPr>
          <w:b/>
          <w:smallCaps/>
          <w:sz w:val="28"/>
          <w:szCs w:val="28"/>
        </w:rPr>
      </w:pPr>
    </w:p>
    <w:p w:rsidR="00F96869" w:rsidRPr="00F507DF" w:rsidRDefault="00F96869" w:rsidP="00F96869">
      <w:pPr>
        <w:jc w:val="center"/>
        <w:rPr>
          <w:b/>
          <w:smallCaps/>
          <w:sz w:val="28"/>
        </w:rPr>
      </w:pPr>
      <w:r w:rsidRPr="00F507DF">
        <w:rPr>
          <w:b/>
          <w:smallCaps/>
          <w:sz w:val="28"/>
          <w:szCs w:val="28"/>
        </w:rPr>
        <w:t xml:space="preserve">ustalam </w:t>
      </w:r>
      <w:r w:rsidRPr="00F507DF">
        <w:rPr>
          <w:b/>
          <w:smallCaps/>
          <w:sz w:val="28"/>
        </w:rPr>
        <w:t>lokalizację inwestycji celu publicznego</w:t>
      </w:r>
    </w:p>
    <w:p w:rsidR="00F96869" w:rsidRPr="00F507DF" w:rsidRDefault="00F96869" w:rsidP="00F96869">
      <w:pPr>
        <w:jc w:val="center"/>
      </w:pPr>
      <w:r w:rsidRPr="00F507DF">
        <w:t xml:space="preserve">na działkach nr </w:t>
      </w:r>
      <w:r>
        <w:t>441/1, 443/6, 460</w:t>
      </w:r>
      <w:r w:rsidRPr="00F507DF">
        <w:t>,</w:t>
      </w:r>
      <w:r>
        <w:t xml:space="preserve"> 461/2, </w:t>
      </w:r>
    </w:p>
    <w:p w:rsidR="00F96869" w:rsidRPr="00753D93" w:rsidRDefault="00F96869" w:rsidP="00F96869">
      <w:pPr>
        <w:jc w:val="center"/>
      </w:pPr>
      <w:r w:rsidRPr="00F507DF">
        <w:t xml:space="preserve">obręb geodezyjny </w:t>
      </w:r>
      <w:r>
        <w:t>Rakowiec</w:t>
      </w:r>
      <w:r w:rsidRPr="00F507DF">
        <w:t>, gmina Kwidzyn</w:t>
      </w:r>
    </w:p>
    <w:p w:rsidR="00F96869" w:rsidRPr="00CB7B94" w:rsidRDefault="00F96869" w:rsidP="00F96869">
      <w:pPr>
        <w:jc w:val="center"/>
      </w:pPr>
    </w:p>
    <w:p w:rsidR="00F96869" w:rsidRPr="00B05ADF" w:rsidRDefault="00F96869" w:rsidP="00F96869">
      <w:pPr>
        <w:numPr>
          <w:ilvl w:val="0"/>
          <w:numId w:val="1"/>
        </w:numPr>
        <w:jc w:val="both"/>
      </w:pPr>
      <w:r w:rsidRPr="00B05ADF">
        <w:rPr>
          <w:b/>
        </w:rPr>
        <w:t xml:space="preserve">Rodzaj inwestycji: budowa obiektu sportowego – hali widowiskowo - sportowej </w:t>
      </w:r>
      <w:r>
        <w:rPr>
          <w:b/>
        </w:rPr>
        <w:br/>
      </w:r>
      <w:r w:rsidRPr="00B05ADF">
        <w:rPr>
          <w:b/>
        </w:rPr>
        <w:t>na</w:t>
      </w:r>
      <w:r w:rsidRPr="00B05ADF">
        <w:t xml:space="preserve"> </w:t>
      </w:r>
      <w:r w:rsidRPr="00B05ADF">
        <w:rPr>
          <w:b/>
        </w:rPr>
        <w:t>działkach nr 441/1, 443/6, 460, 461/2 w miejscowości Rakowiec.</w:t>
      </w:r>
    </w:p>
    <w:p w:rsidR="00F96869" w:rsidRPr="00CB7B94" w:rsidRDefault="00F96869" w:rsidP="00F96869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F96869" w:rsidRPr="00CB7B94" w:rsidRDefault="00F96869" w:rsidP="00F96869">
      <w:pPr>
        <w:numPr>
          <w:ilvl w:val="1"/>
          <w:numId w:val="1"/>
        </w:numPr>
        <w:jc w:val="both"/>
        <w:rPr>
          <w:b/>
        </w:rPr>
      </w:pPr>
      <w:r w:rsidRPr="00CB7B94">
        <w:rPr>
          <w:b/>
        </w:rPr>
        <w:t xml:space="preserve">w zakresie ochrony i kształtowania ładu przestrzennego: </w:t>
      </w:r>
    </w:p>
    <w:p w:rsidR="00F96869" w:rsidRPr="00CB7B94" w:rsidRDefault="00F96869" w:rsidP="00F96869">
      <w:pPr>
        <w:numPr>
          <w:ilvl w:val="2"/>
          <w:numId w:val="1"/>
        </w:numPr>
        <w:jc w:val="both"/>
        <w:rPr>
          <w:u w:val="single"/>
        </w:rPr>
      </w:pPr>
      <w:r w:rsidRPr="00CB7B94">
        <w:rPr>
          <w:u w:val="single"/>
        </w:rPr>
        <w:t>uwarunkowania przestrzenne:</w:t>
      </w:r>
    </w:p>
    <w:p w:rsidR="00F96869" w:rsidRDefault="00F96869" w:rsidP="00F96869">
      <w:pPr>
        <w:numPr>
          <w:ilvl w:val="3"/>
          <w:numId w:val="1"/>
        </w:numPr>
        <w:jc w:val="both"/>
      </w:pPr>
      <w:r w:rsidRPr="00F0461C">
        <w:t xml:space="preserve">budynek </w:t>
      </w:r>
      <w:r>
        <w:t>hali sportowo – widowiskowej ja</w:t>
      </w:r>
      <w:r w:rsidRPr="00F0461C">
        <w:t>ko obiekt wolnostojący</w:t>
      </w:r>
      <w:r>
        <w:t xml:space="preserve"> lub połączony </w:t>
      </w:r>
      <w:r>
        <w:br/>
        <w:t>z istniejącym budynkiem szkoły (maksymalna powierzchnia zabudowy projektowanej hali = 2000 m</w:t>
      </w:r>
      <w:r w:rsidRPr="00B05ADF">
        <w:rPr>
          <w:vertAlign w:val="superscript"/>
        </w:rPr>
        <w:t>2</w:t>
      </w:r>
      <w:r>
        <w:t>);</w:t>
      </w:r>
    </w:p>
    <w:p w:rsidR="00F96869" w:rsidRDefault="00F96869" w:rsidP="00F96869">
      <w:pPr>
        <w:numPr>
          <w:ilvl w:val="3"/>
          <w:numId w:val="1"/>
        </w:numPr>
        <w:jc w:val="both"/>
      </w:pPr>
      <w:r>
        <w:t>dopuszcza się budowę infrastruktury towarzyszącej, miejsc parkingowych oraz małej architektury o maksymalnej powierzchni (wraz z nową zabudową) 0,5 ha;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 xml:space="preserve">w razie potrzeby dopuszcza się przełożenie istniejących sieci uzbrojenia terenu </w:t>
      </w:r>
      <w:r w:rsidRPr="00B05ADF">
        <w:br/>
        <w:t>za zgodą zarządcy sieci;</w:t>
      </w:r>
    </w:p>
    <w:p w:rsidR="00F96869" w:rsidRPr="00F0286C" w:rsidRDefault="00F96869" w:rsidP="00F96869">
      <w:pPr>
        <w:numPr>
          <w:ilvl w:val="3"/>
          <w:numId w:val="1"/>
        </w:numPr>
        <w:jc w:val="both"/>
      </w:pPr>
      <w:r w:rsidRPr="00F0286C">
        <w:t>dopuszczalna</w:t>
      </w:r>
      <w:r w:rsidRPr="00F0461C">
        <w:t xml:space="preserve"> maksymalna </w:t>
      </w:r>
      <w:r w:rsidRPr="00F0286C">
        <w:t xml:space="preserve">wysokość poziomu posadzki parteru: </w:t>
      </w:r>
      <w:r w:rsidRPr="00B05ADF">
        <w:t>0,6</w:t>
      </w:r>
      <w:r w:rsidRPr="00F0286C">
        <w:t xml:space="preserve"> m;</w:t>
      </w:r>
    </w:p>
    <w:p w:rsidR="00F96869" w:rsidRDefault="00F96869" w:rsidP="00F96869">
      <w:pPr>
        <w:numPr>
          <w:ilvl w:val="3"/>
          <w:numId w:val="1"/>
        </w:numPr>
        <w:jc w:val="both"/>
      </w:pPr>
      <w:r w:rsidRPr="00F0286C">
        <w:t xml:space="preserve">dopuszczalna ilość kondygnacji: </w:t>
      </w:r>
      <w:r>
        <w:t>nie ustala się</w:t>
      </w:r>
      <w:r w:rsidRPr="00F0286C">
        <w:t>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>dopuszcza się podpiwniczenie budynku hali sportowej;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 xml:space="preserve">maksymalna wysokość budynku hali sportowej: 13,0 m od poziomu terenu </w:t>
      </w:r>
      <w:r w:rsidRPr="00B05ADF">
        <w:br/>
        <w:t xml:space="preserve">do najwyższego punktu kalenicy; 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>maksymalna wysokość górnej krawędzi elewacji frontowej, jej gzymsu lub attyki: 13,0 m;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CB7B94">
        <w:t xml:space="preserve">dopuszczalne rodzaje </w:t>
      </w:r>
      <w:r w:rsidRPr="00B05ADF">
        <w:t>dachów: dachy strome, o symetrycznych kątach nachylenia połaci dachowych, dwuspadowe lub wielospadowe posiadające kalenicę główną, dopuszcza się dach jednospadowy lub dach płaski;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>dopuszczalne kąty nachylenia połaci dachowych: 5</w:t>
      </w:r>
      <w:r w:rsidRPr="00B05ADF">
        <w:rPr>
          <w:vertAlign w:val="superscript"/>
        </w:rPr>
        <w:t xml:space="preserve">0 </w:t>
      </w:r>
      <w:r w:rsidRPr="00B05ADF">
        <w:t>– 35</w:t>
      </w:r>
      <w:r w:rsidRPr="00B05ADF">
        <w:rPr>
          <w:vertAlign w:val="superscript"/>
        </w:rPr>
        <w:t>0</w:t>
      </w:r>
      <w:r w:rsidRPr="00B05ADF">
        <w:t>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>szerokość elewacji frontowej budynku hali sportowej: maksymalnie 50,0 m;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>kolorystyka elewacji – dopuszcza się stosowanie tynków w kolorach od białego do jasnych pasteli; należy stosować materiały tradycyjne – cegła, tynki, drewno;</w:t>
      </w:r>
    </w:p>
    <w:p w:rsidR="00F96869" w:rsidRPr="00CB7B94" w:rsidRDefault="00F96869" w:rsidP="00F96869">
      <w:pPr>
        <w:numPr>
          <w:ilvl w:val="3"/>
          <w:numId w:val="1"/>
        </w:numPr>
        <w:jc w:val="both"/>
      </w:pPr>
      <w:r w:rsidRPr="00CB7B94">
        <w:t xml:space="preserve">pokrycia dachu: zastosować ten sam rodzaj pokrycia dachu dla całego terenu. Zaleca się zastosowanie dachówki ceramicznej lub materiałów </w:t>
      </w:r>
      <w:proofErr w:type="spellStart"/>
      <w:r w:rsidRPr="00CB7B94">
        <w:t>dachówkopodobnych</w:t>
      </w:r>
      <w:proofErr w:type="spellEnd"/>
      <w:r w:rsidRPr="00CB7B94">
        <w:t xml:space="preserve"> w odcieniach zbliżonych do czerwieni, brązu i grafitu.</w:t>
      </w:r>
    </w:p>
    <w:p w:rsidR="00F96869" w:rsidRPr="00CB7B94" w:rsidRDefault="00F96869" w:rsidP="00F96869">
      <w:pPr>
        <w:numPr>
          <w:ilvl w:val="2"/>
          <w:numId w:val="1"/>
        </w:numPr>
        <w:jc w:val="both"/>
        <w:rPr>
          <w:u w:val="single"/>
        </w:rPr>
      </w:pPr>
      <w:r w:rsidRPr="00CB7B94">
        <w:rPr>
          <w:u w:val="single"/>
        </w:rPr>
        <w:lastRenderedPageBreak/>
        <w:t>linie zabudowy: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 xml:space="preserve">nieprzekraczalna linia zabudowy w odległości 1,5 m od linii rozgraniczającej </w:t>
      </w:r>
      <w:r w:rsidRPr="00B05ADF">
        <w:br/>
        <w:t>z drogą gminną (dz. nr 460), zgodnie z załącznikiem graficznym nr 1 do decyzji;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 xml:space="preserve">nieprzekraczalna linia zabudowy w odległości 4,0 m od linii rozgraniczającej </w:t>
      </w:r>
      <w:r w:rsidRPr="00B05ADF">
        <w:br/>
        <w:t>z drogą gminną (dz. nr 466), zgodnie z załącznikiem graficzn</w:t>
      </w:r>
      <w:r>
        <w:t xml:space="preserve">ym nr 1 </w:t>
      </w:r>
      <w:r w:rsidRPr="00B05ADF">
        <w:t>do decyzji;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 w:rsidRPr="00B05ADF">
        <w:t xml:space="preserve">nieprzekraczalna linia zabudowy w odległości 8,0 m od linii rozgraniczającej </w:t>
      </w:r>
      <w:r w:rsidRPr="00B05ADF">
        <w:br/>
        <w:t xml:space="preserve">z działkami nr 461/3 i 462, zgodnie </w:t>
      </w:r>
      <w:r>
        <w:t xml:space="preserve">z załącznikiem graficznym nr 1 </w:t>
      </w:r>
      <w:r w:rsidRPr="00B05ADF">
        <w:t>do decyzji;</w:t>
      </w:r>
    </w:p>
    <w:p w:rsidR="00F96869" w:rsidRDefault="00F96869" w:rsidP="00F96869">
      <w:pPr>
        <w:numPr>
          <w:ilvl w:val="3"/>
          <w:numId w:val="1"/>
        </w:numPr>
        <w:jc w:val="both"/>
      </w:pPr>
      <w:r w:rsidRPr="00B05ADF">
        <w:t xml:space="preserve">pozostałe nieprzekraczalne linia zabudowy zgodnie z załącznikiem graficznym </w:t>
      </w:r>
      <w:r w:rsidRPr="00B05ADF">
        <w:br/>
        <w:t>nr 1 do decyzji;</w:t>
      </w:r>
    </w:p>
    <w:p w:rsidR="00F96869" w:rsidRPr="00B05ADF" w:rsidRDefault="00F96869" w:rsidP="00F96869">
      <w:pPr>
        <w:numPr>
          <w:ilvl w:val="3"/>
          <w:numId w:val="1"/>
        </w:numPr>
        <w:jc w:val="both"/>
      </w:pPr>
      <w:r>
        <w:t xml:space="preserve">dopuszcza się lokalizację miejsc parkingowych, niezbędnej infrastruktury oraz obiektów małej architektury na działkach nr </w:t>
      </w:r>
      <w:r w:rsidRPr="00B05ADF">
        <w:t>441/1, 443/6, 461/2</w:t>
      </w:r>
      <w:r>
        <w:t xml:space="preserve"> bez określania linii zabudowy;</w:t>
      </w:r>
    </w:p>
    <w:p w:rsidR="00F96869" w:rsidRPr="00C0256A" w:rsidRDefault="00F96869" w:rsidP="00F96869">
      <w:pPr>
        <w:numPr>
          <w:ilvl w:val="2"/>
          <w:numId w:val="1"/>
        </w:numPr>
        <w:jc w:val="both"/>
        <w:rPr>
          <w:u w:val="single"/>
        </w:rPr>
      </w:pPr>
      <w:r w:rsidRPr="00C0256A">
        <w:rPr>
          <w:u w:val="single"/>
        </w:rPr>
        <w:t>zagospodarowanie działki:</w:t>
      </w:r>
    </w:p>
    <w:p w:rsidR="00F96869" w:rsidRDefault="00F96869" w:rsidP="00F96869">
      <w:pPr>
        <w:numPr>
          <w:ilvl w:val="3"/>
          <w:numId w:val="1"/>
        </w:numPr>
        <w:jc w:val="both"/>
      </w:pPr>
      <w:r w:rsidRPr="00C0256A">
        <w:t xml:space="preserve">dopuszczalna </w:t>
      </w:r>
      <w:r w:rsidRPr="003164DD">
        <w:t xml:space="preserve">powierzchnia pokrycia </w:t>
      </w:r>
      <w:r>
        <w:t>całej nieruchomości</w:t>
      </w:r>
      <w:r w:rsidRPr="003164DD">
        <w:t xml:space="preserve"> </w:t>
      </w:r>
      <w:r>
        <w:t xml:space="preserve">(działki nr </w:t>
      </w:r>
      <w:r w:rsidRPr="00B05ADF">
        <w:t>441/1, 443/6, 461/2</w:t>
      </w:r>
      <w:r>
        <w:t xml:space="preserve">) </w:t>
      </w:r>
      <w:r w:rsidRPr="003164DD">
        <w:t xml:space="preserve">zabudową oraz </w:t>
      </w:r>
      <w:r w:rsidRPr="00B05ADF">
        <w:t>nawierzchniami – 80%;</w:t>
      </w:r>
    </w:p>
    <w:p w:rsidR="00F96869" w:rsidRPr="003164DD" w:rsidRDefault="00F96869" w:rsidP="00F96869">
      <w:pPr>
        <w:numPr>
          <w:ilvl w:val="3"/>
          <w:numId w:val="1"/>
        </w:numPr>
        <w:jc w:val="both"/>
      </w:pPr>
      <w:r w:rsidRPr="003164DD">
        <w:t>dopuszcza się zagospodarowanie niezabudowanej części działki w postaci zieleni urządzonej, lokalizacji oczka wodnego lub basenu oraz małej architektury w tym altan, murków i zadaszeń nie wymagających pozwolenia na budowę;</w:t>
      </w:r>
    </w:p>
    <w:p w:rsidR="00F96869" w:rsidRPr="003164DD" w:rsidRDefault="00F96869" w:rsidP="00F96869">
      <w:pPr>
        <w:numPr>
          <w:ilvl w:val="3"/>
          <w:numId w:val="1"/>
        </w:numPr>
        <w:jc w:val="both"/>
      </w:pPr>
      <w:r w:rsidRPr="003164DD">
        <w:t>nie dopuszcza się stosowania ogrodzeń betonowych oraz prefabrykowanych żelbetowych;</w:t>
      </w:r>
    </w:p>
    <w:p w:rsidR="00F96869" w:rsidRPr="003164DD" w:rsidRDefault="00F96869" w:rsidP="00F96869">
      <w:pPr>
        <w:numPr>
          <w:ilvl w:val="3"/>
          <w:numId w:val="1"/>
        </w:numPr>
        <w:jc w:val="both"/>
      </w:pPr>
      <w:r w:rsidRPr="003164DD">
        <w:t>wskazane dosadzenie drzew i krzewów wzdłuż granic nieruchomości i od strony wjazdowej działki;</w:t>
      </w:r>
    </w:p>
    <w:p w:rsidR="00F96869" w:rsidRPr="003164DD" w:rsidRDefault="00F96869" w:rsidP="00F96869">
      <w:pPr>
        <w:numPr>
          <w:ilvl w:val="3"/>
          <w:numId w:val="1"/>
        </w:numPr>
        <w:jc w:val="both"/>
      </w:pPr>
      <w:r w:rsidRPr="003164DD">
        <w:t>pozostałe warunki zgodne z rozporządzeniem w sprawi</w:t>
      </w:r>
      <w:r>
        <w:t xml:space="preserve">e warunków technicznych, jakim </w:t>
      </w:r>
      <w:r w:rsidRPr="003164DD">
        <w:t>powinny odpowiadać budynki i ich usytuowanie (Dz. U. Nr 75, poz. 690 z 2002</w:t>
      </w:r>
      <w:r>
        <w:t xml:space="preserve"> </w:t>
      </w:r>
      <w:r w:rsidRPr="003164DD">
        <w:t>r.</w:t>
      </w:r>
      <w:r w:rsidRPr="003164DD">
        <w:rPr>
          <w:bCs/>
          <w:iCs/>
        </w:rPr>
        <w:t xml:space="preserve"> z </w:t>
      </w:r>
      <w:proofErr w:type="spellStart"/>
      <w:r w:rsidRPr="003164DD">
        <w:rPr>
          <w:bCs/>
          <w:iCs/>
        </w:rPr>
        <w:t>późn</w:t>
      </w:r>
      <w:proofErr w:type="spellEnd"/>
      <w:r w:rsidRPr="003164DD">
        <w:rPr>
          <w:bCs/>
          <w:iCs/>
        </w:rPr>
        <w:t>. zm.</w:t>
      </w:r>
      <w:r w:rsidRPr="003164DD">
        <w:t>)</w:t>
      </w:r>
    </w:p>
    <w:p w:rsidR="00F96869" w:rsidRPr="003164DD" w:rsidRDefault="00F96869" w:rsidP="00F96869">
      <w:pPr>
        <w:numPr>
          <w:ilvl w:val="1"/>
          <w:numId w:val="1"/>
        </w:numPr>
        <w:jc w:val="both"/>
        <w:rPr>
          <w:b/>
        </w:rPr>
      </w:pPr>
      <w:r w:rsidRPr="003164DD">
        <w:rPr>
          <w:b/>
        </w:rPr>
        <w:t>w zakresie ochrony środowiska oraz dziedzictwa kulturowego i zabytków:</w:t>
      </w:r>
    </w:p>
    <w:p w:rsidR="00F96869" w:rsidRPr="003164DD" w:rsidRDefault="00F96869" w:rsidP="00F96869">
      <w:pPr>
        <w:numPr>
          <w:ilvl w:val="2"/>
          <w:numId w:val="1"/>
        </w:numPr>
        <w:tabs>
          <w:tab w:val="left" w:pos="851"/>
        </w:tabs>
        <w:ind w:right="142"/>
        <w:jc w:val="both"/>
        <w:rPr>
          <w:u w:val="single"/>
        </w:rPr>
      </w:pPr>
      <w:r w:rsidRPr="003164DD">
        <w:rPr>
          <w:u w:val="single"/>
        </w:rPr>
        <w:t>warunki wynikające z ochrony środowiska:</w:t>
      </w:r>
    </w:p>
    <w:p w:rsidR="00F96869" w:rsidRPr="003164DD" w:rsidRDefault="00F96869" w:rsidP="00F96869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 w:rsidRPr="003164DD">
        <w:rPr>
          <w:szCs w:val="24"/>
        </w:rPr>
        <w:t>na przedmiotowym obszarze nie występują ograniczenia wynikające z ochrony środowiska;</w:t>
      </w:r>
    </w:p>
    <w:p w:rsidR="00F96869" w:rsidRPr="00F0461C" w:rsidRDefault="00F96869" w:rsidP="00F96869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 w:rsidRPr="003164DD">
        <w:rPr>
          <w:szCs w:val="24"/>
        </w:rPr>
        <w:t xml:space="preserve">na terenie </w:t>
      </w:r>
      <w:r>
        <w:t>całej nieruchomości</w:t>
      </w:r>
      <w:r w:rsidRPr="003164DD">
        <w:t xml:space="preserve"> </w:t>
      </w:r>
      <w:r>
        <w:t xml:space="preserve">(działki nr </w:t>
      </w:r>
      <w:r w:rsidRPr="00B05ADF">
        <w:t>441/1, 443/6, 461/2</w:t>
      </w:r>
      <w:r>
        <w:t xml:space="preserve">) </w:t>
      </w:r>
      <w:r w:rsidRPr="003164DD">
        <w:rPr>
          <w:szCs w:val="24"/>
        </w:rPr>
        <w:t>pozostawić min</w:t>
      </w:r>
      <w:r>
        <w:rPr>
          <w:szCs w:val="24"/>
        </w:rPr>
        <w:t>.</w:t>
      </w:r>
      <w:r w:rsidRPr="003164DD">
        <w:rPr>
          <w:szCs w:val="24"/>
        </w:rPr>
        <w:t xml:space="preserve"> </w:t>
      </w:r>
      <w:r w:rsidRPr="00B3126F">
        <w:rPr>
          <w:szCs w:val="24"/>
        </w:rPr>
        <w:t>20%</w:t>
      </w:r>
      <w:r w:rsidRPr="003164DD">
        <w:rPr>
          <w:szCs w:val="24"/>
        </w:rPr>
        <w:t xml:space="preserve"> powierzchni</w:t>
      </w:r>
      <w:r w:rsidRPr="00F0461C">
        <w:rPr>
          <w:szCs w:val="24"/>
        </w:rPr>
        <w:t xml:space="preserve"> biologicznie czynnej.</w:t>
      </w:r>
    </w:p>
    <w:p w:rsidR="00F96869" w:rsidRPr="00F0461C" w:rsidRDefault="00F96869" w:rsidP="00F96869">
      <w:pPr>
        <w:numPr>
          <w:ilvl w:val="2"/>
          <w:numId w:val="1"/>
        </w:numPr>
        <w:tabs>
          <w:tab w:val="left" w:pos="851"/>
        </w:tabs>
        <w:ind w:right="142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F96869" w:rsidRPr="00CB7B94" w:rsidRDefault="00F96869" w:rsidP="00F96869">
      <w:pPr>
        <w:pStyle w:val="Tekstpodstawowywcity"/>
        <w:numPr>
          <w:ilvl w:val="3"/>
          <w:numId w:val="1"/>
        </w:numPr>
        <w:tabs>
          <w:tab w:val="left" w:pos="590"/>
        </w:tabs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F96869" w:rsidRPr="00CB7B94" w:rsidRDefault="00F96869" w:rsidP="00F96869">
      <w:pPr>
        <w:numPr>
          <w:ilvl w:val="1"/>
          <w:numId w:val="1"/>
        </w:numPr>
        <w:jc w:val="both"/>
        <w:rPr>
          <w:b/>
        </w:rPr>
      </w:pPr>
      <w:r w:rsidRPr="00CB7B94">
        <w:rPr>
          <w:b/>
        </w:rPr>
        <w:t>warunki obsługi w zakresie infrastruktury technicznej:</w:t>
      </w:r>
    </w:p>
    <w:p w:rsidR="00F96869" w:rsidRPr="00CB7B94" w:rsidRDefault="00F96869" w:rsidP="00F96869">
      <w:pPr>
        <w:numPr>
          <w:ilvl w:val="2"/>
          <w:numId w:val="1"/>
        </w:numPr>
        <w:jc w:val="both"/>
      </w:pPr>
      <w:r w:rsidRPr="00CB7B94">
        <w:t>zaopatrzenie w energię elektryczną: z sieci energetycznej na warunkach określonych przez zarządcę sieci – Koncern Energetyczny ENERGA S.A. Oddział w Elblągu, Rejon Energetyczny Kwidzyn;</w:t>
      </w:r>
    </w:p>
    <w:p w:rsidR="00F96869" w:rsidRPr="00CB7B94" w:rsidRDefault="00F96869" w:rsidP="00F96869">
      <w:pPr>
        <w:numPr>
          <w:ilvl w:val="2"/>
          <w:numId w:val="1"/>
        </w:numPr>
        <w:jc w:val="both"/>
      </w:pPr>
      <w:r w:rsidRPr="00CB7B94">
        <w:t>zaopatrzeni</w:t>
      </w:r>
      <w:r>
        <w:t xml:space="preserve">e w wodę z wodociągu gminnego </w:t>
      </w:r>
      <w:r w:rsidRPr="00CB7B94">
        <w:t xml:space="preserve">na warunkach określonych przez Przedsiębiorstwo Wodociągowo </w:t>
      </w:r>
      <w:r>
        <w:t xml:space="preserve">– </w:t>
      </w:r>
      <w:r w:rsidRPr="00CB7B94">
        <w:t>Kanalizacyjne w Kwidzynie;</w:t>
      </w:r>
    </w:p>
    <w:p w:rsidR="00F96869" w:rsidRPr="00B3126F" w:rsidRDefault="00F96869" w:rsidP="00F96869">
      <w:pPr>
        <w:ind w:left="1191"/>
        <w:jc w:val="both"/>
      </w:pPr>
      <w:r w:rsidRPr="00CB7B94">
        <w:t xml:space="preserve">odprowadzenie ścieków </w:t>
      </w:r>
      <w:r w:rsidRPr="00B3126F">
        <w:t>sanitarnych: do zbiorczej kanalizacji sanitarnej na warunkach określonych przez Przedsiębiorstwo Wodociągowo – Kanalizacyjne w Kwidzynie;</w:t>
      </w:r>
    </w:p>
    <w:p w:rsidR="00F96869" w:rsidRPr="00B3126F" w:rsidRDefault="00F96869" w:rsidP="00F96869">
      <w:pPr>
        <w:numPr>
          <w:ilvl w:val="2"/>
          <w:numId w:val="1"/>
        </w:numPr>
        <w:jc w:val="both"/>
      </w:pPr>
      <w:r w:rsidRPr="00B3126F">
        <w:t xml:space="preserve">odprowadzenie wód opadowych z powierzchni dachów oraz terenu działki – </w:t>
      </w:r>
      <w:r>
        <w:br/>
      </w:r>
      <w:r w:rsidRPr="00B3126F">
        <w:t>do istniejącej kanalizacji deszczowej;</w:t>
      </w:r>
    </w:p>
    <w:p w:rsidR="00F96869" w:rsidRPr="00CB7B94" w:rsidRDefault="00F96869" w:rsidP="00F96869">
      <w:pPr>
        <w:numPr>
          <w:ilvl w:val="2"/>
          <w:numId w:val="1"/>
        </w:numPr>
        <w:jc w:val="both"/>
      </w:pPr>
      <w:r w:rsidRPr="00CB7B94">
        <w:t xml:space="preserve">ogrzewanie: indywidualne systemy z zastosowaniem paliw niskoemisyjnych; </w:t>
      </w:r>
    </w:p>
    <w:p w:rsidR="00F96869" w:rsidRPr="00CB7B94" w:rsidRDefault="00F96869" w:rsidP="00F96869">
      <w:pPr>
        <w:numPr>
          <w:ilvl w:val="2"/>
          <w:numId w:val="1"/>
        </w:numPr>
        <w:jc w:val="both"/>
      </w:pPr>
      <w:r w:rsidRPr="00CB7B94">
        <w:t xml:space="preserve">odprowadzenie odpadów stałych: ustala się zorganizowany wywóz odpadów zgodnie z zasadami obowiązującymi na obszarze gminy Kwidzyn, określonymi w uchwale Nr </w:t>
      </w:r>
      <w:r>
        <w:t>XXX</w:t>
      </w:r>
      <w:r w:rsidRPr="00CB7B94">
        <w:t>VI/</w:t>
      </w:r>
      <w:r>
        <w:t>2</w:t>
      </w:r>
      <w:r w:rsidRPr="00CB7B94">
        <w:t>5</w:t>
      </w:r>
      <w:r>
        <w:t>7</w:t>
      </w:r>
      <w:r w:rsidRPr="00CB7B94">
        <w:t>/0</w:t>
      </w:r>
      <w:r>
        <w:t>6</w:t>
      </w:r>
      <w:r w:rsidRPr="00CB7B94">
        <w:t xml:space="preserve"> Rady Gminy Kwidzyn z dnia </w:t>
      </w:r>
      <w:r>
        <w:t>29</w:t>
      </w:r>
      <w:r w:rsidRPr="00CB7B94">
        <w:t xml:space="preserve"> </w:t>
      </w:r>
      <w:r>
        <w:t>września</w:t>
      </w:r>
      <w:r w:rsidRPr="00CB7B94">
        <w:t xml:space="preserve"> 200</w:t>
      </w:r>
      <w:r>
        <w:t>6</w:t>
      </w:r>
      <w:r w:rsidRPr="00CB7B94">
        <w:t xml:space="preserve"> r. </w:t>
      </w:r>
      <w:r>
        <w:t>„</w:t>
      </w:r>
      <w:r w:rsidRPr="00CB7B94">
        <w:t>w</w:t>
      </w:r>
      <w:r>
        <w:t> </w:t>
      </w:r>
      <w:r w:rsidRPr="00CB7B94">
        <w:t xml:space="preserve">sprawie ustalenia </w:t>
      </w:r>
      <w:r>
        <w:t xml:space="preserve">Regulaminu </w:t>
      </w:r>
      <w:r w:rsidRPr="00CB7B94">
        <w:t>utrzymania czystości i porządku na</w:t>
      </w:r>
      <w:r>
        <w:t> terenie gminy Kwidzyn” (Dz. Urz. Woj. Pom. z dnia 12 lutego 2007r. Nr 37, poz. 542).</w:t>
      </w:r>
    </w:p>
    <w:p w:rsidR="00F96869" w:rsidRPr="00CB7B94" w:rsidRDefault="00F96869" w:rsidP="00F96869">
      <w:pPr>
        <w:numPr>
          <w:ilvl w:val="1"/>
          <w:numId w:val="1"/>
        </w:numPr>
        <w:jc w:val="both"/>
        <w:rPr>
          <w:b/>
        </w:rPr>
      </w:pPr>
      <w:r w:rsidRPr="00CB7B94">
        <w:rPr>
          <w:b/>
        </w:rPr>
        <w:lastRenderedPageBreak/>
        <w:t>warunki obsługi komunikacyjnej:</w:t>
      </w:r>
    </w:p>
    <w:p w:rsidR="00F96869" w:rsidRPr="003164DD" w:rsidRDefault="00F96869" w:rsidP="00F96869">
      <w:pPr>
        <w:numPr>
          <w:ilvl w:val="2"/>
          <w:numId w:val="1"/>
        </w:numPr>
        <w:jc w:val="both"/>
        <w:rPr>
          <w:color w:val="000000"/>
        </w:rPr>
      </w:pPr>
      <w:r w:rsidRPr="00CB7B94">
        <w:rPr>
          <w:color w:val="000000"/>
        </w:rPr>
        <w:t>ob</w:t>
      </w:r>
      <w:r>
        <w:rPr>
          <w:color w:val="000000"/>
        </w:rPr>
        <w:t>sługa komunikacyjna w oparciu o</w:t>
      </w:r>
      <w:r w:rsidRPr="00CB7B94">
        <w:rPr>
          <w:color w:val="000000"/>
        </w:rPr>
        <w:t xml:space="preserve"> drog</w:t>
      </w:r>
      <w:r>
        <w:rPr>
          <w:color w:val="000000"/>
        </w:rPr>
        <w:t>i gminne - dz. nr 466 (ul. Robotnicza) oraz dz. nr 439 (ul. Szkolna),</w:t>
      </w:r>
      <w:r w:rsidRPr="00CB7B94">
        <w:rPr>
          <w:color w:val="000000"/>
        </w:rPr>
        <w:t xml:space="preserve"> </w:t>
      </w:r>
      <w:r w:rsidRPr="00CB7B94">
        <w:t>dozwolon</w:t>
      </w:r>
      <w:r>
        <w:t>e</w:t>
      </w:r>
      <w:r w:rsidRPr="00CB7B94">
        <w:t xml:space="preserve"> </w:t>
      </w:r>
      <w:r>
        <w:t>minimum dwa</w:t>
      </w:r>
      <w:r w:rsidRPr="00CB7B94">
        <w:t xml:space="preserve"> wjazd</w:t>
      </w:r>
      <w:r>
        <w:t>y</w:t>
      </w:r>
      <w:r w:rsidRPr="00CB7B94">
        <w:t>;</w:t>
      </w:r>
    </w:p>
    <w:p w:rsidR="00F96869" w:rsidRPr="00CB7B94" w:rsidRDefault="00F96869" w:rsidP="00F96869">
      <w:pPr>
        <w:numPr>
          <w:ilvl w:val="2"/>
          <w:numId w:val="1"/>
        </w:numPr>
        <w:jc w:val="both"/>
        <w:rPr>
          <w:color w:val="000000"/>
        </w:rPr>
      </w:pPr>
      <w:r w:rsidRPr="00CB7B94">
        <w:t>miejsca parkingowe wynikające z programu inwestycji należy przewidzieć w ramach własności nieruchomości</w:t>
      </w:r>
      <w:r>
        <w:t xml:space="preserve"> - </w:t>
      </w:r>
      <w:r w:rsidRPr="003164DD">
        <w:t xml:space="preserve">na terenie </w:t>
      </w:r>
      <w:r>
        <w:t>całej nieruchomości</w:t>
      </w:r>
      <w:r w:rsidRPr="003164DD">
        <w:t xml:space="preserve"> </w:t>
      </w:r>
      <w:r>
        <w:t xml:space="preserve">(działki nr </w:t>
      </w:r>
      <w:r w:rsidRPr="00B05ADF">
        <w:t>441/1, 443/6, 461/2</w:t>
      </w:r>
      <w:r>
        <w:t>) – minimum 50 miejsc parkingowych</w:t>
      </w:r>
      <w:r w:rsidRPr="00CB7B94">
        <w:t>.</w:t>
      </w:r>
    </w:p>
    <w:p w:rsidR="00F96869" w:rsidRPr="00CB7B94" w:rsidRDefault="00F96869" w:rsidP="00F96869">
      <w:pPr>
        <w:numPr>
          <w:ilvl w:val="1"/>
          <w:numId w:val="1"/>
        </w:numPr>
        <w:jc w:val="both"/>
        <w:rPr>
          <w:b/>
        </w:rPr>
      </w:pPr>
      <w:r w:rsidRPr="00CB7B94">
        <w:rPr>
          <w:b/>
        </w:rPr>
        <w:t xml:space="preserve">wymagania dotyczące ochrony interesów osób trzecich: </w:t>
      </w:r>
    </w:p>
    <w:p w:rsidR="00F96869" w:rsidRPr="00CB7B94" w:rsidRDefault="00F96869" w:rsidP="00F96869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zagospodarowanie terenu należy zaprojektować w sposób nie utrudniający dostępu do drogi, wody, kanalizacji, energii elektrycznej;</w:t>
      </w:r>
    </w:p>
    <w:p w:rsidR="00F96869" w:rsidRPr="00B3126F" w:rsidRDefault="00F96869" w:rsidP="00F96869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3126F">
        <w:rPr>
          <w:sz w:val="24"/>
          <w:szCs w:val="24"/>
        </w:rPr>
        <w:t>stopień wykorzystania, modernizacji, przebudowy, rozbudowy oraz zakres ewentualnej likwidacji wewnętrznych sieci uzbrojenia terenu, urządzeń inżynierskich i melioracyjnych oraz stref ich uciążliwości, znajdujących się na obszarze opracowania, określić należy, stosownie do programu inwestycji, na etapie projektu budowlanego w oparciu o szczegółowe rozwiązania projektowe, wynikające z technicznych warunków realizacji inwestycji.</w:t>
      </w:r>
    </w:p>
    <w:p w:rsidR="00F96869" w:rsidRPr="00CB7B94" w:rsidRDefault="00F96869" w:rsidP="00F96869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projektowany budynek nie powinien zacieniać pomieszczeń w sąsiednich budynkach w stopniu wyższym niż dopuszczonym przez § 13 ust. 1-3 rozporządzenia Ministra Infrastruktury z dnia 12 kwietnia 2002r. w sprawie warunków technicznych, jakim powinny odpowiadać budynki i ich usytuowanie (Dz. U. z 2002r. Nr 75, poz. 690</w:t>
      </w:r>
      <w:r w:rsidRPr="00CB7B94">
        <w:rPr>
          <w:rFonts w:ascii="Times New Roman" w:hAnsi="Times New Roman"/>
          <w:bCs/>
          <w:iCs/>
          <w:sz w:val="24"/>
          <w:szCs w:val="24"/>
        </w:rPr>
        <w:t xml:space="preserve"> z </w:t>
      </w:r>
      <w:proofErr w:type="spellStart"/>
      <w:r w:rsidRPr="00CB7B94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CB7B94">
        <w:rPr>
          <w:rFonts w:ascii="Times New Roman" w:hAnsi="Times New Roman"/>
          <w:bCs/>
          <w:iCs/>
          <w:sz w:val="24"/>
          <w:szCs w:val="24"/>
        </w:rPr>
        <w:t>. zm.</w:t>
      </w:r>
      <w:r w:rsidRPr="00CB7B94">
        <w:rPr>
          <w:rFonts w:ascii="Times New Roman" w:hAnsi="Times New Roman"/>
          <w:sz w:val="24"/>
          <w:szCs w:val="24"/>
        </w:rPr>
        <w:t>);</w:t>
      </w:r>
    </w:p>
    <w:p w:rsidR="00F96869" w:rsidRPr="00CB7B94" w:rsidRDefault="00F96869" w:rsidP="00F96869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nie dopuszcza się dokonywania zmiany spływu wód opadowych w celu skierowania ich na teren sąsiedniej nieruchomości;</w:t>
      </w:r>
    </w:p>
    <w:p w:rsidR="00F96869" w:rsidRPr="00CB7B94" w:rsidRDefault="00F96869" w:rsidP="00F96869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decyzja niniejsza nie rodzi praw do terenu oraz nie narusza własności i uprawnień osób trzecich.</w:t>
      </w:r>
    </w:p>
    <w:p w:rsidR="00F96869" w:rsidRPr="00CB7B94" w:rsidRDefault="00F96869" w:rsidP="00F96869">
      <w:pPr>
        <w:numPr>
          <w:ilvl w:val="0"/>
          <w:numId w:val="1"/>
        </w:numPr>
        <w:jc w:val="both"/>
      </w:pPr>
      <w:r w:rsidRPr="00CB7B94">
        <w:rPr>
          <w:b/>
        </w:rPr>
        <w:t>Linie rozgraniczające teren inwestycji:</w:t>
      </w:r>
      <w:r>
        <w:t xml:space="preserve"> </w:t>
      </w:r>
      <w:r w:rsidRPr="00CB7B94">
        <w:t>zgodnie z załącznikiem nr 1 do niniejszej decyzji.</w:t>
      </w:r>
    </w:p>
    <w:p w:rsidR="00F96869" w:rsidRPr="00CB7B94" w:rsidRDefault="00F96869" w:rsidP="00F96869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Wymagane uzgodnienia:</w:t>
      </w:r>
    </w:p>
    <w:p w:rsidR="00F96869" w:rsidRPr="00CB7B94" w:rsidRDefault="00F96869" w:rsidP="00F96869">
      <w:pPr>
        <w:pStyle w:val="Tekstpodstawowy"/>
        <w:numPr>
          <w:ilvl w:val="2"/>
          <w:numId w:val="1"/>
        </w:numPr>
        <w:tabs>
          <w:tab w:val="left" w:pos="607"/>
        </w:tabs>
        <w:rPr>
          <w:szCs w:val="24"/>
        </w:rPr>
      </w:pPr>
      <w:r w:rsidRPr="00CB7B94">
        <w:rPr>
          <w:szCs w:val="24"/>
        </w:rPr>
        <w:t xml:space="preserve">zgodnie z art. 11 ust. 4 </w:t>
      </w:r>
      <w:r>
        <w:rPr>
          <w:szCs w:val="24"/>
        </w:rPr>
        <w:t>u</w:t>
      </w:r>
      <w:r w:rsidRPr="00CB7B94">
        <w:rPr>
          <w:szCs w:val="24"/>
        </w:rPr>
        <w:t>stawy z dnia 3 lutego 1995 roku o ochronie gruntów rolnych i leśnych (Dz. U. z 2004 r. Nr 121, poz. 1266 z późn. zmianami) przed uzyskaniem pozwolenia na budowę należy uzyskać decyzję zezwalającą na wyłączenie gruntów z produkcji rolnej;</w:t>
      </w:r>
    </w:p>
    <w:p w:rsidR="00F96869" w:rsidRDefault="00F96869" w:rsidP="00F96869">
      <w:pPr>
        <w:pStyle w:val="Tekstpodstawowy"/>
        <w:numPr>
          <w:ilvl w:val="2"/>
          <w:numId w:val="1"/>
        </w:numPr>
        <w:tabs>
          <w:tab w:val="left" w:pos="607"/>
        </w:tabs>
        <w:rPr>
          <w:szCs w:val="24"/>
        </w:rPr>
      </w:pPr>
      <w:r w:rsidRPr="00CB7B94">
        <w:rPr>
          <w:szCs w:val="24"/>
        </w:rPr>
        <w:t>należy uzyskać warunki techniczne podłączenia do sieci infrastrukturalnych u zarządców tych sieci;</w:t>
      </w:r>
    </w:p>
    <w:p w:rsidR="00F96869" w:rsidRDefault="00F96869" w:rsidP="00F96869">
      <w:pPr>
        <w:jc w:val="both"/>
      </w:pPr>
    </w:p>
    <w:p w:rsidR="00F96869" w:rsidRDefault="00F96869" w:rsidP="00F96869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F96869" w:rsidRDefault="00F96869" w:rsidP="00F96869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F96869" w:rsidRDefault="00F96869" w:rsidP="00F96869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F96869" w:rsidRDefault="00F96869" w:rsidP="00F96869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F96869" w:rsidRDefault="00F96869" w:rsidP="00F96869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9 </w:t>
      </w:r>
      <w:r w:rsidRPr="00CB7B94">
        <w:t xml:space="preserve">ustawy </w:t>
      </w:r>
      <w:r>
        <w:br/>
      </w:r>
      <w:r w:rsidRPr="00CB7B94">
        <w:t xml:space="preserve">z dnia 27 marca 2003 r. </w:t>
      </w:r>
      <w:r>
        <w:t>o p</w:t>
      </w:r>
      <w:r w:rsidRPr="00CB7B94">
        <w:t>lanowaniu i z</w:t>
      </w:r>
      <w:r>
        <w:t xml:space="preserve">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 xml:space="preserve">         z 2012 r.</w:t>
      </w:r>
      <w:r w:rsidRPr="005F79A6">
        <w:t xml:space="preserve">, poz. </w:t>
      </w:r>
      <w:r>
        <w:t>647).</w:t>
      </w:r>
    </w:p>
    <w:p w:rsidR="00F96869" w:rsidRDefault="00F96869" w:rsidP="00F96869">
      <w:pPr>
        <w:ind w:firstLine="720"/>
        <w:jc w:val="both"/>
      </w:pPr>
    </w:p>
    <w:p w:rsidR="00F96869" w:rsidRDefault="00F96869" w:rsidP="00F96869">
      <w:pPr>
        <w:ind w:firstLine="720"/>
        <w:jc w:val="both"/>
      </w:pPr>
      <w:r>
        <w:t>W celu uzyskania pozwolenia na budowę należy przedłożyć w Starostwie Powiatowym w Kwidzynie:</w:t>
      </w:r>
    </w:p>
    <w:p w:rsidR="00F96869" w:rsidRDefault="00F96869" w:rsidP="00F96869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</w:t>
      </w:r>
      <w:r>
        <w:br/>
        <w:t xml:space="preserve">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</w:t>
      </w:r>
      <w:r>
        <w:br/>
      </w:r>
      <w:r w:rsidRPr="00A72579">
        <w:t xml:space="preserve">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 xml:space="preserve">su i formy projektu budowlanego </w:t>
      </w:r>
      <w:r>
        <w:br/>
        <w:t>(Dz. U. Nr 120, poz. 1133):</w:t>
      </w:r>
    </w:p>
    <w:p w:rsidR="00F96869" w:rsidRDefault="00F96869" w:rsidP="00F96869">
      <w:pPr>
        <w:numPr>
          <w:ilvl w:val="2"/>
          <w:numId w:val="2"/>
        </w:numPr>
        <w:ind w:hanging="527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</w:t>
      </w:r>
      <w:proofErr w:type="spellEnd"/>
      <w:r w:rsidRPr="00A72579">
        <w:t>.-wys. w</w:t>
      </w:r>
      <w:r>
        <w:t> </w:t>
      </w:r>
      <w:r w:rsidRPr="00A72579">
        <w:t>skali 1:500;</w:t>
      </w:r>
    </w:p>
    <w:p w:rsidR="00F96869" w:rsidRDefault="00F96869" w:rsidP="00F96869">
      <w:pPr>
        <w:numPr>
          <w:ilvl w:val="2"/>
          <w:numId w:val="2"/>
        </w:numPr>
        <w:ind w:hanging="527"/>
        <w:jc w:val="both"/>
      </w:pPr>
      <w:r w:rsidRPr="00A72579">
        <w:lastRenderedPageBreak/>
        <w:t xml:space="preserve">projekt </w:t>
      </w:r>
      <w:r>
        <w:t>architektoniczno-</w:t>
      </w:r>
      <w:r w:rsidRPr="00A72579">
        <w:t>budowlany w 4 egz</w:t>
      </w:r>
      <w:r>
        <w:t>.</w:t>
      </w:r>
      <w:r w:rsidRPr="00A72579">
        <w:t>;</w:t>
      </w:r>
    </w:p>
    <w:p w:rsidR="00F96869" w:rsidRDefault="00F96869" w:rsidP="00F96869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dysponowania nieruchomością na cele budowlane;</w:t>
      </w:r>
    </w:p>
    <w:p w:rsidR="00F96869" w:rsidRPr="00C17F91" w:rsidRDefault="00F96869" w:rsidP="00F96869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</w:t>
      </w:r>
      <w:r w:rsidRPr="00A72579">
        <w:t>.</w:t>
      </w:r>
    </w:p>
    <w:p w:rsidR="00F96869" w:rsidRDefault="00F96869" w:rsidP="00F96869">
      <w:pPr>
        <w:jc w:val="center"/>
        <w:rPr>
          <w:b/>
          <w:smallCaps/>
          <w:sz w:val="28"/>
          <w:szCs w:val="28"/>
        </w:rPr>
      </w:pPr>
    </w:p>
    <w:p w:rsidR="00F96869" w:rsidRPr="004944A4" w:rsidRDefault="00F96869" w:rsidP="00F9686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Pr="004944A4">
        <w:rPr>
          <w:b/>
          <w:smallCaps/>
          <w:sz w:val="28"/>
          <w:szCs w:val="28"/>
        </w:rPr>
        <w:t>zasadnienie</w:t>
      </w:r>
    </w:p>
    <w:p w:rsidR="00F96869" w:rsidRDefault="00F96869" w:rsidP="00F96869"/>
    <w:p w:rsidR="00F96869" w:rsidRPr="00B3126F" w:rsidRDefault="00F96869" w:rsidP="00F96869">
      <w:pPr>
        <w:ind w:firstLine="708"/>
        <w:jc w:val="both"/>
      </w:pPr>
      <w:r w:rsidRPr="00B3126F">
        <w:t xml:space="preserve">Dnia 13 lipca 2012 r. wpłynął wniosek Gminy Kwidzyn o </w:t>
      </w:r>
      <w:r w:rsidRPr="00F507DF">
        <w:t xml:space="preserve">ustalenie lokalizacji inwestycji celu publicznego </w:t>
      </w:r>
      <w:r w:rsidRPr="00B3126F">
        <w:t xml:space="preserve">dla inwestycji polegającej na budowie obiektu sportowego – </w:t>
      </w:r>
      <w:r>
        <w:br/>
      </w:r>
      <w:r w:rsidRPr="00B3126F">
        <w:t>hali widowiskowo</w:t>
      </w:r>
      <w:r>
        <w:t xml:space="preserve"> </w:t>
      </w:r>
      <w:r w:rsidRPr="00B3126F">
        <w:t>- sportowej na działkach nr 441/1, 443/6, 460, 461/2</w:t>
      </w:r>
      <w:r>
        <w:t xml:space="preserve"> </w:t>
      </w:r>
      <w:r w:rsidRPr="00B3126F">
        <w:t>w obrębie geodezyjnym Rakowiec w gminie Kwidzyn.</w:t>
      </w:r>
    </w:p>
    <w:p w:rsidR="00F96869" w:rsidRPr="0029775E" w:rsidRDefault="00F96869" w:rsidP="0029775E">
      <w:pPr>
        <w:pStyle w:val="Tekstpodstawowy"/>
        <w:ind w:firstLine="708"/>
        <w:rPr>
          <w:b/>
        </w:rPr>
      </w:pPr>
      <w:r w:rsidRPr="003E50D1"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27 marca </w:t>
      </w:r>
      <w:r w:rsidRPr="00CB7B94">
        <w:t xml:space="preserve">2003 r. </w:t>
      </w:r>
      <w:r>
        <w:t>o p</w:t>
      </w:r>
      <w:r w:rsidRPr="00CB7B94">
        <w:t>lanowaniu i z</w:t>
      </w:r>
      <w:r>
        <w:t xml:space="preserve">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647), zgodnie z art. 4 ust. 2 tej ustawy, należało ustalić warunki zabudowy i zagospodarowania terenu</w:t>
      </w:r>
      <w:r w:rsidRPr="003501C1">
        <w:t>.</w:t>
      </w:r>
    </w:p>
    <w:p w:rsidR="00F96869" w:rsidRPr="003501C1" w:rsidRDefault="00F96869" w:rsidP="00F96869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</w:t>
      </w:r>
      <w:r>
        <w:br/>
      </w:r>
      <w:r w:rsidRPr="003501C1">
        <w:t>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przestrzennym:</w:t>
      </w:r>
    </w:p>
    <w:p w:rsidR="00F96869" w:rsidRDefault="00F96869" w:rsidP="00F96869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na działkach sąsiednich istnieje zabudowa pozwalająca na określenie wymagań dotyczących nowej zabudowy;</w:t>
      </w:r>
    </w:p>
    <w:p w:rsidR="00F96869" w:rsidRDefault="00F96869" w:rsidP="00F96869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wnioskowany teren posiada dostęp do drogi;</w:t>
      </w:r>
    </w:p>
    <w:p w:rsidR="00F96869" w:rsidRDefault="00F96869" w:rsidP="00F96869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istniejące uzbrojenie terenu jest wystarczające dla zamierzenia budowlanego;</w:t>
      </w:r>
    </w:p>
    <w:p w:rsidR="00F96869" w:rsidRDefault="00F96869" w:rsidP="00F96869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F96869" w:rsidRDefault="00F96869" w:rsidP="00F96869">
      <w:pPr>
        <w:jc w:val="both"/>
      </w:pPr>
    </w:p>
    <w:p w:rsidR="00F96869" w:rsidRPr="001C7DC6" w:rsidRDefault="00F96869" w:rsidP="00F96869">
      <w:pPr>
        <w:ind w:firstLine="720"/>
        <w:jc w:val="both"/>
      </w:pPr>
      <w:r>
        <w:t>W związku z powyższym orzeczono jak w sentencji.</w:t>
      </w:r>
    </w:p>
    <w:p w:rsidR="00F96869" w:rsidRDefault="00F96869" w:rsidP="00F96869">
      <w:pPr>
        <w:pStyle w:val="Tekstpodstawowywcity"/>
        <w:tabs>
          <w:tab w:val="left" w:pos="607"/>
        </w:tabs>
        <w:rPr>
          <w:rFonts w:ascii="Times New Roman" w:hAnsi="Times New Roman"/>
          <w:b/>
          <w:smallCaps/>
          <w:szCs w:val="28"/>
        </w:rPr>
      </w:pPr>
    </w:p>
    <w:p w:rsidR="00F96869" w:rsidRPr="00D130A4" w:rsidRDefault="00F96869" w:rsidP="00F96869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 w:rsidRPr="00D130A4">
        <w:rPr>
          <w:rFonts w:ascii="Times New Roman" w:hAnsi="Times New Roman"/>
          <w:b/>
          <w:smallCaps/>
          <w:szCs w:val="28"/>
        </w:rPr>
        <w:t>Pouczenie:</w:t>
      </w:r>
    </w:p>
    <w:p w:rsidR="00F96869" w:rsidRPr="00D130A4" w:rsidRDefault="00F96869" w:rsidP="00F96869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F96869" w:rsidRDefault="00F96869" w:rsidP="00F96869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F96869" w:rsidRPr="003501C1" w:rsidRDefault="00F96869" w:rsidP="00F96869">
      <w:pPr>
        <w:pStyle w:val="Tekstpodstawowy"/>
        <w:rPr>
          <w:szCs w:val="24"/>
        </w:rPr>
      </w:pPr>
    </w:p>
    <w:p w:rsidR="00F96869" w:rsidRPr="003501C1" w:rsidRDefault="00F96869" w:rsidP="00F96869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F96869" w:rsidRPr="00B3126F" w:rsidRDefault="00F96869" w:rsidP="00F96869">
      <w:pPr>
        <w:numPr>
          <w:ilvl w:val="0"/>
          <w:numId w:val="4"/>
        </w:numPr>
        <w:jc w:val="both"/>
      </w:pPr>
      <w:r w:rsidRPr="00B3126F">
        <w:t>Załącznik nr 1 – załącznik graficzny do decyzji o warunkach zabudowy.</w:t>
      </w:r>
    </w:p>
    <w:p w:rsidR="00F96869" w:rsidRPr="00A72579" w:rsidRDefault="00F96869" w:rsidP="00F96869">
      <w:pPr>
        <w:numPr>
          <w:ilvl w:val="0"/>
          <w:numId w:val="4"/>
        </w:numPr>
        <w:jc w:val="both"/>
      </w:pPr>
      <w:r>
        <w:t>Załącznik nr 2 – analiza funkcji oraz cech zabudowy i zagospodarowania terenu.</w:t>
      </w:r>
    </w:p>
    <w:p w:rsidR="00F96869" w:rsidRDefault="00F96869" w:rsidP="00F96869">
      <w:pPr>
        <w:jc w:val="both"/>
      </w:pPr>
    </w:p>
    <w:p w:rsidR="00A95FB9" w:rsidRPr="00A95FB9" w:rsidRDefault="00A95FB9" w:rsidP="00A95FB9">
      <w:pPr>
        <w:ind w:left="7080"/>
        <w:jc w:val="center"/>
      </w:pPr>
      <w:r w:rsidRPr="00A95FB9">
        <w:t>Wójt</w:t>
      </w:r>
    </w:p>
    <w:p w:rsidR="00A95FB9" w:rsidRPr="00A95FB9" w:rsidRDefault="00A95FB9" w:rsidP="00F82803">
      <w:pPr>
        <w:jc w:val="right"/>
        <w:rPr>
          <w:i/>
          <w:sz w:val="28"/>
          <w:szCs w:val="28"/>
        </w:rPr>
      </w:pPr>
      <w:r w:rsidRPr="00A95FB9">
        <w:rPr>
          <w:i/>
        </w:rPr>
        <w:t>Ewa Nowogrodzka</w:t>
      </w:r>
    </w:p>
    <w:p w:rsidR="00F96869" w:rsidRDefault="00F96869" w:rsidP="00F96869">
      <w:pPr>
        <w:jc w:val="both"/>
      </w:pPr>
    </w:p>
    <w:p w:rsidR="00F96869" w:rsidRPr="001A70CE" w:rsidRDefault="00F96869" w:rsidP="00F96869">
      <w:pPr>
        <w:jc w:val="both"/>
      </w:pPr>
      <w:r w:rsidRPr="001A70CE">
        <w:t>Otrzymują:</w:t>
      </w:r>
    </w:p>
    <w:p w:rsidR="00F96869" w:rsidRPr="00B3126F" w:rsidRDefault="00F96869" w:rsidP="00F96869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Gmina Kwidzyn – Z-ca Wójta,</w:t>
      </w:r>
    </w:p>
    <w:p w:rsidR="00F96869" w:rsidRDefault="00F96869" w:rsidP="00F96869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Szkoła Podstawowa, Rakowiec ul. Szkolna 2, 82-500 Kwidzyn,</w:t>
      </w:r>
    </w:p>
    <w:p w:rsidR="00F96869" w:rsidRDefault="0029775E" w:rsidP="00F96869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Gmina Kwidzyn, stanowisko ds. zasobu mienia komunalnego.</w:t>
      </w:r>
    </w:p>
    <w:p w:rsidR="0029775E" w:rsidRDefault="0029775E" w:rsidP="0029775E">
      <w:bookmarkStart w:id="0" w:name="_GoBack"/>
      <w:bookmarkEnd w:id="0"/>
    </w:p>
    <w:p w:rsidR="0029775E" w:rsidRPr="0029775E" w:rsidRDefault="0029775E" w:rsidP="0029775E">
      <w:pPr>
        <w:rPr>
          <w:sz w:val="20"/>
          <w:szCs w:val="20"/>
        </w:rPr>
      </w:pPr>
      <w:r w:rsidRPr="0029775E">
        <w:rPr>
          <w:sz w:val="20"/>
          <w:szCs w:val="20"/>
        </w:rPr>
        <w:t>1 x a/a stanowisko ds. gospodarki przestrzennej i budownictwa</w:t>
      </w:r>
    </w:p>
    <w:p w:rsidR="0029775E" w:rsidRPr="0029775E" w:rsidRDefault="0029775E" w:rsidP="0029775E">
      <w:pPr>
        <w:rPr>
          <w:sz w:val="20"/>
          <w:szCs w:val="20"/>
        </w:rPr>
      </w:pPr>
      <w:r w:rsidRPr="0029775E">
        <w:rPr>
          <w:sz w:val="20"/>
          <w:szCs w:val="20"/>
        </w:rPr>
        <w:t>Sporządził: Robert Paziewski</w:t>
      </w:r>
    </w:p>
    <w:p w:rsidR="00F96869" w:rsidRPr="0029775E" w:rsidRDefault="00F96869" w:rsidP="00F96869">
      <w:pPr>
        <w:rPr>
          <w:sz w:val="10"/>
          <w:szCs w:val="10"/>
        </w:rPr>
      </w:pPr>
    </w:p>
    <w:p w:rsidR="00F96869" w:rsidRDefault="00F96869" w:rsidP="00F96869">
      <w:r>
        <w:t>Projekt decyzji przygotował:</w:t>
      </w:r>
    </w:p>
    <w:p w:rsidR="009E7663" w:rsidRDefault="00F96869">
      <w:r w:rsidRPr="00630766">
        <w:t>inż. arch</w:t>
      </w:r>
      <w:r>
        <w:t>.</w:t>
      </w:r>
      <w:r w:rsidRPr="00630766">
        <w:t xml:space="preserve"> kraj. Maciej </w:t>
      </w:r>
      <w:proofErr w:type="spellStart"/>
      <w:r w:rsidRPr="00630766">
        <w:t>Gamalczyk</w:t>
      </w:r>
      <w:proofErr w:type="spellEnd"/>
      <w:r w:rsidRPr="00630766">
        <w:t xml:space="preserve">, </w:t>
      </w:r>
      <w:r>
        <w:t>G-</w:t>
      </w:r>
      <w:r w:rsidRPr="00630766">
        <w:t>268/2009</w:t>
      </w:r>
    </w:p>
    <w:sectPr w:rsidR="009E7663" w:rsidSect="003A62A3">
      <w:footerReference w:type="even" r:id="rId8"/>
      <w:foot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D4" w:rsidRDefault="00216BD4">
      <w:r>
        <w:separator/>
      </w:r>
    </w:p>
  </w:endnote>
  <w:endnote w:type="continuationSeparator" w:id="0">
    <w:p w:rsidR="00216BD4" w:rsidRDefault="0021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82" w:rsidRDefault="0029775E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B82" w:rsidRDefault="00216B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82" w:rsidRDefault="0029775E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5FB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21B82" w:rsidRDefault="00216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D4" w:rsidRDefault="00216BD4">
      <w:r>
        <w:separator/>
      </w:r>
    </w:p>
  </w:footnote>
  <w:footnote w:type="continuationSeparator" w:id="0">
    <w:p w:rsidR="00216BD4" w:rsidRDefault="0021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5692C"/>
    <w:multiLevelType w:val="hybridMultilevel"/>
    <w:tmpl w:val="92820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17258"/>
    <w:multiLevelType w:val="hybridMultilevel"/>
    <w:tmpl w:val="03B6B832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69"/>
    <w:rsid w:val="00216BD4"/>
    <w:rsid w:val="0029775E"/>
    <w:rsid w:val="009E7663"/>
    <w:rsid w:val="00A95FB9"/>
    <w:rsid w:val="00B544C1"/>
    <w:rsid w:val="00F82803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68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6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6869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869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96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6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96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68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6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6869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869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96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6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9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3</cp:revision>
  <dcterms:created xsi:type="dcterms:W3CDTF">2012-09-07T11:10:00Z</dcterms:created>
  <dcterms:modified xsi:type="dcterms:W3CDTF">2012-09-12T10:33:00Z</dcterms:modified>
</cp:coreProperties>
</file>