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12" w:rsidRDefault="00A06B09" w:rsidP="00202112">
      <w:pPr>
        <w:suppressAutoHyphens/>
        <w:jc w:val="right"/>
        <w:rPr>
          <w:rFonts w:ascii="Calibri" w:hAnsi="Calibri"/>
          <w:b/>
          <w:i w:val="0"/>
          <w:iCs w:val="0"/>
          <w:sz w:val="22"/>
          <w:szCs w:val="22"/>
        </w:rPr>
      </w:pPr>
      <w:r>
        <w:rPr>
          <w:rFonts w:ascii="Calibri" w:hAnsi="Calibri"/>
          <w:b/>
          <w:i w:val="0"/>
          <w:iCs w:val="0"/>
          <w:sz w:val="22"/>
          <w:szCs w:val="22"/>
        </w:rPr>
        <w:t xml:space="preserve">Załącznik </w:t>
      </w:r>
      <w:r w:rsidR="00202112">
        <w:rPr>
          <w:rFonts w:ascii="Calibri" w:hAnsi="Calibri"/>
          <w:b/>
          <w:i w:val="0"/>
          <w:iCs w:val="0"/>
          <w:sz w:val="22"/>
          <w:szCs w:val="22"/>
        </w:rPr>
        <w:t>Nr 1</w:t>
      </w:r>
    </w:p>
    <w:p w:rsidR="00202112" w:rsidRDefault="0000163D" w:rsidP="00202112">
      <w:pPr>
        <w:suppressAutoHyphens/>
        <w:jc w:val="right"/>
        <w:rPr>
          <w:rFonts w:ascii="Calibri" w:hAnsi="Calibri"/>
          <w:b/>
          <w:i w:val="0"/>
          <w:iCs w:val="0"/>
          <w:sz w:val="22"/>
          <w:szCs w:val="22"/>
        </w:rPr>
      </w:pPr>
      <w:r w:rsidRPr="0036698F">
        <w:rPr>
          <w:rFonts w:ascii="Calibri" w:hAnsi="Calibri"/>
          <w:b/>
          <w:i w:val="0"/>
          <w:iCs w:val="0"/>
          <w:sz w:val="22"/>
          <w:szCs w:val="22"/>
        </w:rPr>
        <w:t xml:space="preserve">do decyzji </w:t>
      </w:r>
      <w:r w:rsidR="009127C3">
        <w:rPr>
          <w:rFonts w:ascii="Calibri" w:hAnsi="Calibri"/>
          <w:b/>
          <w:i w:val="0"/>
          <w:iCs w:val="0"/>
          <w:sz w:val="22"/>
          <w:szCs w:val="22"/>
        </w:rPr>
        <w:t>Nr OŚiGW.6220.16</w:t>
      </w:r>
      <w:r w:rsidR="00B753B5">
        <w:rPr>
          <w:rFonts w:ascii="Calibri" w:hAnsi="Calibri"/>
          <w:b/>
          <w:i w:val="0"/>
          <w:iCs w:val="0"/>
          <w:sz w:val="22"/>
          <w:szCs w:val="22"/>
        </w:rPr>
        <w:t>.2020</w:t>
      </w:r>
      <w:r w:rsidRPr="0036698F">
        <w:rPr>
          <w:rFonts w:ascii="Calibri" w:hAnsi="Calibri"/>
          <w:b/>
          <w:i w:val="0"/>
          <w:iCs w:val="0"/>
          <w:sz w:val="22"/>
          <w:szCs w:val="22"/>
        </w:rPr>
        <w:t xml:space="preserve"> </w:t>
      </w:r>
    </w:p>
    <w:p w:rsidR="00202112" w:rsidRPr="00202112" w:rsidRDefault="00202112" w:rsidP="00202112">
      <w:pPr>
        <w:suppressAutoHyphens/>
        <w:jc w:val="right"/>
        <w:rPr>
          <w:rFonts w:ascii="Times New Roman" w:eastAsia="Lucida Sans Unicode" w:hAnsi="Times New Roman" w:cs="Times New Roman"/>
          <w:i w:val="0"/>
          <w:iCs w:val="0"/>
          <w:color w:val="000000"/>
          <w:sz w:val="24"/>
          <w:szCs w:val="24"/>
          <w:lang w:bidi="en-US"/>
        </w:rPr>
      </w:pPr>
      <w:r w:rsidRPr="00B86ADC">
        <w:rPr>
          <w:rFonts w:ascii="Calibri" w:hAnsi="Calibri"/>
          <w:i w:val="0"/>
          <w:iCs w:val="0"/>
          <w:sz w:val="22"/>
          <w:szCs w:val="22"/>
        </w:rPr>
        <w:t>zgodnie z art. 84 ust. 2 ustaw</w:t>
      </w:r>
      <w:r w:rsidR="006728F7">
        <w:rPr>
          <w:rFonts w:ascii="Calibri" w:hAnsi="Calibri"/>
          <w:i w:val="0"/>
          <w:iCs w:val="0"/>
          <w:sz w:val="22"/>
          <w:szCs w:val="22"/>
        </w:rPr>
        <w:t xml:space="preserve">y z dnia 3 października 2008r. </w:t>
      </w:r>
      <w:r w:rsidR="00B86ADC">
        <w:rPr>
          <w:rFonts w:ascii="Calibri" w:hAnsi="Calibri"/>
          <w:i w:val="0"/>
          <w:iCs w:val="0"/>
          <w:sz w:val="22"/>
          <w:szCs w:val="22"/>
        </w:rPr>
        <w:t>o udostępnianiu informacji o środowisku i </w:t>
      </w:r>
      <w:r w:rsidRPr="00B86ADC">
        <w:rPr>
          <w:rFonts w:ascii="Calibri" w:hAnsi="Calibri"/>
          <w:i w:val="0"/>
          <w:iCs w:val="0"/>
          <w:sz w:val="22"/>
          <w:szCs w:val="22"/>
        </w:rPr>
        <w:t xml:space="preserve">jego ochronie, udziale społeczeństwa w ochronie środowiska </w:t>
      </w:r>
      <w:r w:rsidR="00B86ADC">
        <w:rPr>
          <w:rFonts w:ascii="Calibri" w:hAnsi="Calibri"/>
          <w:i w:val="0"/>
          <w:iCs w:val="0"/>
          <w:sz w:val="22"/>
          <w:szCs w:val="22"/>
        </w:rPr>
        <w:t>oraz o ocenach oddziaływania na </w:t>
      </w:r>
      <w:r w:rsidRPr="00B86ADC">
        <w:rPr>
          <w:rFonts w:ascii="Calibri" w:hAnsi="Calibri"/>
          <w:i w:val="0"/>
          <w:iCs w:val="0"/>
          <w:sz w:val="22"/>
          <w:szCs w:val="22"/>
        </w:rPr>
        <w:t>środowisko</w:t>
      </w:r>
      <w:r w:rsidRPr="00202112">
        <w:rPr>
          <w:rFonts w:ascii="Times New Roman" w:eastAsia="Lucida Sans Unicode" w:hAnsi="Times New Roman" w:cs="Times New Roman"/>
          <w:bCs/>
          <w:i w:val="0"/>
          <w:iCs w:val="0"/>
          <w:color w:val="000000"/>
          <w:sz w:val="24"/>
          <w:szCs w:val="24"/>
          <w:lang w:eastAsia="ar-SA" w:bidi="en-US"/>
        </w:rPr>
        <w:t xml:space="preserve"> </w:t>
      </w:r>
      <w:r w:rsidR="00881D7C" w:rsidRPr="00497AF9">
        <w:rPr>
          <w:rFonts w:ascii="Calibri" w:hAnsi="Calibri"/>
          <w:iCs w:val="0"/>
          <w:sz w:val="22"/>
          <w:szCs w:val="22"/>
        </w:rPr>
        <w:t>(</w:t>
      </w:r>
      <w:r w:rsidR="00497AF9" w:rsidRPr="00497AF9">
        <w:rPr>
          <w:rFonts w:ascii="Calibri" w:hAnsi="Calibri"/>
          <w:iCs w:val="0"/>
          <w:sz w:val="22"/>
          <w:szCs w:val="22"/>
        </w:rPr>
        <w:t>tekst jedn. Dz. U. z 2021r., poz. 247</w:t>
      </w:r>
      <w:r w:rsidRPr="00202112">
        <w:rPr>
          <w:rFonts w:ascii="Times New Roman" w:eastAsiaTheme="minorEastAsia" w:hAnsi="Times New Roman" w:cstheme="minorBidi"/>
          <w:iCs w:val="0"/>
          <w:sz w:val="24"/>
          <w:szCs w:val="24"/>
        </w:rPr>
        <w:t>)</w:t>
      </w:r>
    </w:p>
    <w:p w:rsidR="0000163D" w:rsidRPr="0036698F" w:rsidRDefault="0000163D" w:rsidP="0000163D">
      <w:pPr>
        <w:shd w:val="clear" w:color="auto" w:fill="FFFFFF"/>
        <w:tabs>
          <w:tab w:val="left" w:pos="2268"/>
          <w:tab w:val="left" w:pos="5387"/>
          <w:tab w:val="left" w:pos="6804"/>
          <w:tab w:val="left" w:pos="6946"/>
        </w:tabs>
        <w:spacing w:line="276" w:lineRule="auto"/>
        <w:ind w:left="5387"/>
        <w:rPr>
          <w:rFonts w:ascii="Calibri" w:hAnsi="Calibri"/>
          <w:b/>
          <w:i w:val="0"/>
          <w:iCs w:val="0"/>
          <w:sz w:val="22"/>
          <w:szCs w:val="22"/>
        </w:rPr>
      </w:pPr>
    </w:p>
    <w:p w:rsidR="0000163D" w:rsidRPr="0036698F" w:rsidRDefault="0000163D" w:rsidP="0000163D">
      <w:pPr>
        <w:shd w:val="clear" w:color="auto" w:fill="FFFFFF"/>
        <w:tabs>
          <w:tab w:val="left" w:pos="2268"/>
          <w:tab w:val="left" w:pos="6804"/>
          <w:tab w:val="left" w:pos="6946"/>
        </w:tabs>
        <w:spacing w:before="394"/>
        <w:rPr>
          <w:rFonts w:ascii="Calibri" w:hAnsi="Calibri"/>
          <w:b/>
          <w:i w:val="0"/>
          <w:iCs w:val="0"/>
          <w:sz w:val="22"/>
          <w:szCs w:val="22"/>
        </w:rPr>
      </w:pPr>
      <w:bookmarkStart w:id="0" w:name="_GoBack"/>
      <w:bookmarkEnd w:id="0"/>
    </w:p>
    <w:p w:rsidR="00E43991" w:rsidRDefault="0000163D" w:rsidP="00E43991">
      <w:pPr>
        <w:shd w:val="clear" w:color="auto" w:fill="FFFFFF"/>
        <w:tabs>
          <w:tab w:val="left" w:pos="2268"/>
          <w:tab w:val="left" w:pos="6804"/>
          <w:tab w:val="left" w:pos="6946"/>
        </w:tabs>
        <w:jc w:val="center"/>
        <w:rPr>
          <w:rFonts w:ascii="Calibri" w:hAnsi="Calibri"/>
          <w:b/>
          <w:i w:val="0"/>
          <w:iCs w:val="0"/>
          <w:sz w:val="22"/>
          <w:szCs w:val="22"/>
        </w:rPr>
      </w:pPr>
      <w:r w:rsidRPr="0036698F">
        <w:rPr>
          <w:rFonts w:ascii="Calibri" w:hAnsi="Calibri"/>
          <w:b/>
          <w:i w:val="0"/>
          <w:iCs w:val="0"/>
          <w:sz w:val="22"/>
          <w:szCs w:val="22"/>
        </w:rPr>
        <w:t>CHARAKTERYSTKA PRZEDSIĘWZIĘCIA</w:t>
      </w:r>
    </w:p>
    <w:p w:rsidR="00B753B5" w:rsidRDefault="007C2806" w:rsidP="0000163D">
      <w:pPr>
        <w:shd w:val="clear" w:color="auto" w:fill="FFFFFF"/>
        <w:spacing w:before="360"/>
        <w:ind w:left="23" w:firstLine="685"/>
        <w:jc w:val="both"/>
        <w:rPr>
          <w:rFonts w:ascii="Calibri" w:hAnsi="Calibri" w:cs="Calibri"/>
          <w:b/>
          <w:sz w:val="22"/>
          <w:szCs w:val="22"/>
        </w:rPr>
      </w:pPr>
      <w:r>
        <w:rPr>
          <w:rFonts w:ascii="Calibri" w:hAnsi="Calibri" w:cs="Calibri"/>
          <w:b/>
          <w:sz w:val="22"/>
          <w:szCs w:val="22"/>
          <w:lang w:eastAsia="ar-SA"/>
        </w:rPr>
        <w:t xml:space="preserve">„Budowa </w:t>
      </w:r>
      <w:r w:rsidR="009127C3" w:rsidRPr="00DB1A2D">
        <w:rPr>
          <w:rFonts w:ascii="Calibri" w:hAnsi="Calibri" w:cs="Calibri"/>
          <w:b/>
          <w:sz w:val="22"/>
          <w:szCs w:val="22"/>
        </w:rPr>
        <w:t>elektrowni fotowoltaicznej o mocy do 2 MW wraz z infrastrukturą towarzyszącą w miejscowości Rakowice, gmina Kwidzyn</w:t>
      </w:r>
      <w:r w:rsidR="00B753B5" w:rsidRPr="00C0305D">
        <w:rPr>
          <w:rFonts w:ascii="Calibri" w:hAnsi="Calibri" w:cs="Calibri"/>
          <w:b/>
          <w:sz w:val="22"/>
          <w:szCs w:val="22"/>
        </w:rPr>
        <w:t>”.</w:t>
      </w:r>
    </w:p>
    <w:p w:rsidR="0000163D" w:rsidRPr="00371FA2" w:rsidRDefault="0000163D" w:rsidP="0000163D">
      <w:pPr>
        <w:shd w:val="clear" w:color="auto" w:fill="FFFFFF"/>
        <w:spacing w:before="360"/>
        <w:ind w:left="23" w:firstLine="685"/>
        <w:jc w:val="both"/>
        <w:rPr>
          <w:rFonts w:asciiTheme="minorHAnsi" w:hAnsiTheme="minorHAnsi" w:cs="Calibri"/>
          <w:sz w:val="22"/>
          <w:szCs w:val="22"/>
        </w:rPr>
      </w:pPr>
      <w:r w:rsidRPr="00371FA2">
        <w:rPr>
          <w:rFonts w:asciiTheme="minorHAnsi" w:hAnsiTheme="minorHAnsi" w:cs="Calibri"/>
          <w:sz w:val="22"/>
          <w:szCs w:val="22"/>
        </w:rPr>
        <w:t>Charakterystyka planowanego przedsięwzięcia zg</w:t>
      </w:r>
      <w:r w:rsidR="003403F9">
        <w:rPr>
          <w:rFonts w:asciiTheme="minorHAnsi" w:hAnsiTheme="minorHAnsi" w:cs="Calibri"/>
          <w:sz w:val="22"/>
          <w:szCs w:val="22"/>
        </w:rPr>
        <w:t>odnie z art. 84 ust. 2 ustawy o </w:t>
      </w:r>
      <w:r w:rsidRPr="00371FA2">
        <w:rPr>
          <w:rFonts w:asciiTheme="minorHAnsi" w:hAnsiTheme="minorHAnsi" w:cs="Calibri"/>
          <w:sz w:val="22"/>
          <w:szCs w:val="22"/>
        </w:rPr>
        <w:t xml:space="preserve">udostępnieniu informacji o środowisku i jego ochronie, udziale społeczeństwa w ochronie środowiska oraz ocenach oddziaływania na środowisko </w:t>
      </w:r>
      <w:r w:rsidR="00D22F9B">
        <w:rPr>
          <w:rFonts w:ascii="Calibri" w:hAnsi="Calibri"/>
          <w:sz w:val="22"/>
          <w:szCs w:val="22"/>
          <w:lang w:eastAsia="ar-SA"/>
        </w:rPr>
        <w:t>(</w:t>
      </w:r>
      <w:r w:rsidR="00AC5459" w:rsidRPr="00AC5459">
        <w:rPr>
          <w:rFonts w:asciiTheme="minorHAnsi" w:hAnsiTheme="minorHAnsi" w:cs="Calibri"/>
          <w:sz w:val="22"/>
          <w:szCs w:val="22"/>
        </w:rPr>
        <w:t>tekst jedn. Dz. U. z 2021r., poz. 247</w:t>
      </w:r>
      <w:r w:rsidR="00D22F9B" w:rsidRPr="00BE6EC7">
        <w:rPr>
          <w:rFonts w:ascii="Calibri" w:hAnsi="Calibri"/>
          <w:sz w:val="22"/>
          <w:szCs w:val="22"/>
          <w:lang w:eastAsia="ar-SA"/>
        </w:rPr>
        <w:t>)</w:t>
      </w:r>
      <w:r w:rsidR="00D22F9B">
        <w:rPr>
          <w:rFonts w:ascii="Calibri" w:hAnsi="Calibri"/>
          <w:sz w:val="22"/>
          <w:szCs w:val="22"/>
          <w:lang w:eastAsia="ar-SA"/>
        </w:rPr>
        <w:t xml:space="preserve"> </w:t>
      </w:r>
      <w:r w:rsidRPr="00371FA2">
        <w:rPr>
          <w:rFonts w:asciiTheme="minorHAnsi" w:hAnsiTheme="minorHAnsi" w:cs="Calibri"/>
          <w:sz w:val="22"/>
          <w:szCs w:val="22"/>
        </w:rPr>
        <w:t>Przedmiotową charakterystykę sporządzono w oparciu o dane zawarte w karcie informacyjnej przedsięwzięcia.</w:t>
      </w:r>
    </w:p>
    <w:p w:rsidR="0000163D" w:rsidRPr="00371FA2" w:rsidRDefault="0000163D" w:rsidP="0000163D">
      <w:pPr>
        <w:shd w:val="clear" w:color="auto" w:fill="FFFFFF"/>
        <w:ind w:left="34"/>
        <w:jc w:val="center"/>
        <w:rPr>
          <w:rFonts w:asciiTheme="minorHAnsi" w:hAnsiTheme="minorHAnsi" w:cs="Calibri"/>
          <w:b/>
          <w:i w:val="0"/>
          <w:sz w:val="22"/>
          <w:szCs w:val="22"/>
        </w:rPr>
      </w:pPr>
    </w:p>
    <w:p w:rsidR="009127C3" w:rsidRPr="009127C3" w:rsidRDefault="009127C3" w:rsidP="009127C3">
      <w:pPr>
        <w:widowControl/>
        <w:autoSpaceDE/>
        <w:autoSpaceDN/>
        <w:adjustRightInd/>
        <w:spacing w:line="360" w:lineRule="auto"/>
        <w:ind w:left="-11"/>
        <w:contextualSpacing/>
        <w:jc w:val="both"/>
        <w:rPr>
          <w:rFonts w:ascii="Calibri" w:hAnsi="Calibri" w:cs="Calibri"/>
          <w:i w:val="0"/>
          <w:iCs w:val="0"/>
          <w:sz w:val="22"/>
          <w:szCs w:val="22"/>
        </w:rPr>
      </w:pPr>
      <w:r w:rsidRPr="009127C3">
        <w:rPr>
          <w:rFonts w:ascii="Calibri" w:hAnsi="Calibri" w:cs="Calibri"/>
          <w:i w:val="0"/>
          <w:iCs w:val="0"/>
          <w:sz w:val="22"/>
          <w:szCs w:val="22"/>
        </w:rPr>
        <w:t xml:space="preserve">Przedmiotowe przedsięwzięcie polega na budowie elektrowni fotowoltaicznej o mocy do 2,0 MW wraz z infrastrukturą towarzyszącą. Łączna powierzchnia zabudowy terenu, na którym planuje się lokalizację elektrowni fotowoltaicznej wraz z towarzyszącą infrastrukturą techniczną, wynosi do 3,5 ha. W ramach niniejszej inwestycji planuje się montaż następujących elementów/obiektów: </w:t>
      </w:r>
    </w:p>
    <w:p w:rsidR="009127C3" w:rsidRPr="009127C3" w:rsidRDefault="009127C3" w:rsidP="009127C3">
      <w:pPr>
        <w:widowControl/>
        <w:numPr>
          <w:ilvl w:val="0"/>
          <w:numId w:val="8"/>
        </w:numPr>
        <w:autoSpaceDE/>
        <w:autoSpaceDN/>
        <w:adjustRightInd/>
        <w:spacing w:line="360" w:lineRule="auto"/>
        <w:ind w:left="567" w:hanging="567"/>
        <w:contextualSpacing/>
        <w:jc w:val="both"/>
        <w:rPr>
          <w:rFonts w:ascii="Calibri" w:hAnsi="Calibri" w:cs="Calibri"/>
          <w:i w:val="0"/>
          <w:iCs w:val="0"/>
          <w:sz w:val="22"/>
          <w:szCs w:val="22"/>
        </w:rPr>
      </w:pPr>
      <w:r w:rsidRPr="009127C3">
        <w:rPr>
          <w:rFonts w:ascii="Calibri" w:hAnsi="Calibri" w:cs="Calibri"/>
          <w:i w:val="0"/>
          <w:iCs w:val="0"/>
          <w:sz w:val="22"/>
          <w:szCs w:val="22"/>
        </w:rPr>
        <w:t xml:space="preserve">panele fotowoltaiczne o mocy od 280[W] do 330[W] w ilości do 6048 szt. o maksymalnej mocy do 1,998 MW, </w:t>
      </w:r>
    </w:p>
    <w:p w:rsidR="009127C3" w:rsidRPr="009127C3" w:rsidRDefault="009127C3" w:rsidP="009127C3">
      <w:pPr>
        <w:widowControl/>
        <w:numPr>
          <w:ilvl w:val="0"/>
          <w:numId w:val="8"/>
        </w:numPr>
        <w:autoSpaceDE/>
        <w:autoSpaceDN/>
        <w:adjustRightInd/>
        <w:spacing w:line="360" w:lineRule="auto"/>
        <w:ind w:left="567" w:hanging="567"/>
        <w:contextualSpacing/>
        <w:jc w:val="both"/>
        <w:rPr>
          <w:rFonts w:ascii="Calibri" w:hAnsi="Calibri" w:cs="Calibri"/>
          <w:i w:val="0"/>
          <w:iCs w:val="0"/>
          <w:sz w:val="22"/>
          <w:szCs w:val="22"/>
        </w:rPr>
      </w:pPr>
      <w:r w:rsidRPr="009127C3">
        <w:rPr>
          <w:rFonts w:ascii="Calibri" w:hAnsi="Calibri" w:cs="Calibri"/>
          <w:i w:val="0"/>
          <w:iCs w:val="0"/>
          <w:sz w:val="22"/>
          <w:szCs w:val="22"/>
        </w:rPr>
        <w:t xml:space="preserve">konstrukcja nośna do instalacji paneli fotowoltaicznych (tzw. stoły fotowoltaiczne), </w:t>
      </w:r>
    </w:p>
    <w:p w:rsidR="009127C3" w:rsidRPr="009127C3" w:rsidRDefault="009127C3" w:rsidP="009127C3">
      <w:pPr>
        <w:widowControl/>
        <w:numPr>
          <w:ilvl w:val="0"/>
          <w:numId w:val="8"/>
        </w:numPr>
        <w:autoSpaceDE/>
        <w:autoSpaceDN/>
        <w:adjustRightInd/>
        <w:spacing w:line="360" w:lineRule="auto"/>
        <w:ind w:left="567" w:hanging="567"/>
        <w:contextualSpacing/>
        <w:jc w:val="both"/>
        <w:rPr>
          <w:rFonts w:ascii="Calibri" w:hAnsi="Calibri" w:cs="Calibri"/>
          <w:i w:val="0"/>
          <w:iCs w:val="0"/>
          <w:sz w:val="22"/>
          <w:szCs w:val="22"/>
        </w:rPr>
      </w:pPr>
      <w:r w:rsidRPr="009127C3">
        <w:rPr>
          <w:rFonts w:ascii="Calibri" w:hAnsi="Calibri" w:cs="Calibri"/>
          <w:i w:val="0"/>
          <w:iCs w:val="0"/>
          <w:sz w:val="22"/>
          <w:szCs w:val="22"/>
        </w:rPr>
        <w:t xml:space="preserve">falowniki (inwertery) przekształcające energie prądu stałego na energie prądu zmiennego o parametrach dostosowanych do obowiązujących standardów Operatora Sieci Dystrybucyjnej (OSD), umiejscowienie inwerterów zlokalizowane będzie pod panelami fotowoltaicznymi. Przewidywana ilość urządzeń około 26 szt. (ilość urządzeń może ulec zmianie), </w:t>
      </w:r>
    </w:p>
    <w:p w:rsidR="009127C3" w:rsidRPr="009127C3" w:rsidRDefault="009127C3" w:rsidP="009127C3">
      <w:pPr>
        <w:widowControl/>
        <w:numPr>
          <w:ilvl w:val="0"/>
          <w:numId w:val="8"/>
        </w:numPr>
        <w:autoSpaceDE/>
        <w:autoSpaceDN/>
        <w:adjustRightInd/>
        <w:spacing w:line="360" w:lineRule="auto"/>
        <w:ind w:left="567" w:hanging="567"/>
        <w:contextualSpacing/>
        <w:jc w:val="both"/>
        <w:rPr>
          <w:rFonts w:ascii="Calibri" w:hAnsi="Calibri" w:cs="Calibri"/>
          <w:i w:val="0"/>
          <w:iCs w:val="0"/>
          <w:sz w:val="22"/>
          <w:szCs w:val="22"/>
        </w:rPr>
      </w:pPr>
      <w:r w:rsidRPr="009127C3">
        <w:rPr>
          <w:rFonts w:ascii="Calibri" w:hAnsi="Calibri" w:cs="Calibri"/>
          <w:i w:val="0"/>
          <w:iCs w:val="0"/>
          <w:sz w:val="22"/>
          <w:szCs w:val="22"/>
        </w:rPr>
        <w:t xml:space="preserve">instalacja monitorująca ilość i jakość wyprodukowanej energii oraz prace elektrowni słonecznej, </w:t>
      </w:r>
    </w:p>
    <w:p w:rsidR="009127C3" w:rsidRPr="009127C3" w:rsidRDefault="009127C3" w:rsidP="009127C3">
      <w:pPr>
        <w:widowControl/>
        <w:numPr>
          <w:ilvl w:val="0"/>
          <w:numId w:val="8"/>
        </w:numPr>
        <w:autoSpaceDE/>
        <w:autoSpaceDN/>
        <w:adjustRightInd/>
        <w:spacing w:line="360" w:lineRule="auto"/>
        <w:ind w:left="567" w:hanging="567"/>
        <w:contextualSpacing/>
        <w:jc w:val="both"/>
        <w:rPr>
          <w:rFonts w:ascii="Calibri" w:hAnsi="Calibri" w:cs="Calibri"/>
          <w:i w:val="0"/>
          <w:iCs w:val="0"/>
          <w:sz w:val="22"/>
          <w:szCs w:val="22"/>
        </w:rPr>
      </w:pPr>
      <w:r w:rsidRPr="009127C3">
        <w:rPr>
          <w:rFonts w:ascii="Calibri" w:hAnsi="Calibri" w:cs="Calibri"/>
          <w:i w:val="0"/>
          <w:iCs w:val="0"/>
          <w:sz w:val="22"/>
          <w:szCs w:val="22"/>
        </w:rPr>
        <w:t xml:space="preserve">instalacje odgromową, </w:t>
      </w:r>
    </w:p>
    <w:p w:rsidR="009127C3" w:rsidRPr="009127C3" w:rsidRDefault="009127C3" w:rsidP="009127C3">
      <w:pPr>
        <w:widowControl/>
        <w:numPr>
          <w:ilvl w:val="0"/>
          <w:numId w:val="8"/>
        </w:numPr>
        <w:autoSpaceDE/>
        <w:autoSpaceDN/>
        <w:adjustRightInd/>
        <w:spacing w:line="360" w:lineRule="auto"/>
        <w:ind w:left="567" w:hanging="567"/>
        <w:contextualSpacing/>
        <w:jc w:val="both"/>
        <w:rPr>
          <w:rFonts w:ascii="Calibri" w:hAnsi="Calibri" w:cs="Calibri"/>
          <w:i w:val="0"/>
          <w:iCs w:val="0"/>
          <w:sz w:val="22"/>
          <w:szCs w:val="22"/>
        </w:rPr>
      </w:pPr>
      <w:r w:rsidRPr="009127C3">
        <w:rPr>
          <w:rFonts w:ascii="Calibri" w:hAnsi="Calibri" w:cs="Calibri"/>
          <w:i w:val="0"/>
          <w:iCs w:val="0"/>
          <w:sz w:val="22"/>
          <w:szCs w:val="22"/>
        </w:rPr>
        <w:t>kontenerową stacje transformatorową abonencką o napięciu SN/</w:t>
      </w:r>
      <w:proofErr w:type="spellStart"/>
      <w:r w:rsidRPr="009127C3">
        <w:rPr>
          <w:rFonts w:ascii="Calibri" w:hAnsi="Calibri" w:cs="Calibri"/>
          <w:i w:val="0"/>
          <w:iCs w:val="0"/>
          <w:sz w:val="22"/>
          <w:szCs w:val="22"/>
        </w:rPr>
        <w:t>nN</w:t>
      </w:r>
      <w:proofErr w:type="spellEnd"/>
      <w:r w:rsidRPr="009127C3">
        <w:rPr>
          <w:rFonts w:ascii="Calibri" w:hAnsi="Calibri" w:cs="Calibri"/>
          <w:i w:val="0"/>
          <w:iCs w:val="0"/>
          <w:sz w:val="22"/>
          <w:szCs w:val="22"/>
        </w:rPr>
        <w:t xml:space="preserve"> o wymiarach </w:t>
      </w:r>
      <w:r w:rsidRPr="009127C3">
        <w:rPr>
          <w:rFonts w:ascii="Calibri" w:hAnsi="Calibri" w:cs="Calibri"/>
          <w:i w:val="0"/>
          <w:iCs w:val="0"/>
          <w:sz w:val="22"/>
          <w:szCs w:val="22"/>
        </w:rPr>
        <w:br/>
        <w:t xml:space="preserve">3,0 x 6,0m oraz wysokości do 3m, wraz z przyłączem abonenckim, </w:t>
      </w:r>
    </w:p>
    <w:p w:rsidR="009127C3" w:rsidRPr="009127C3" w:rsidRDefault="009127C3" w:rsidP="009127C3">
      <w:pPr>
        <w:widowControl/>
        <w:numPr>
          <w:ilvl w:val="0"/>
          <w:numId w:val="8"/>
        </w:numPr>
        <w:autoSpaceDE/>
        <w:autoSpaceDN/>
        <w:adjustRightInd/>
        <w:spacing w:line="360" w:lineRule="auto"/>
        <w:ind w:left="567" w:hanging="567"/>
        <w:contextualSpacing/>
        <w:jc w:val="both"/>
        <w:rPr>
          <w:rFonts w:ascii="Calibri" w:hAnsi="Calibri" w:cs="Calibri"/>
          <w:i w:val="0"/>
          <w:iCs w:val="0"/>
          <w:sz w:val="22"/>
          <w:szCs w:val="22"/>
        </w:rPr>
      </w:pPr>
      <w:r w:rsidRPr="009127C3">
        <w:rPr>
          <w:rFonts w:ascii="Calibri" w:hAnsi="Calibri" w:cs="Calibri"/>
          <w:i w:val="0"/>
          <w:iCs w:val="0"/>
          <w:sz w:val="22"/>
          <w:szCs w:val="22"/>
        </w:rPr>
        <w:t>ogrodzenie,</w:t>
      </w:r>
    </w:p>
    <w:p w:rsidR="009127C3" w:rsidRPr="009127C3" w:rsidRDefault="009127C3" w:rsidP="009127C3">
      <w:pPr>
        <w:widowControl/>
        <w:numPr>
          <w:ilvl w:val="0"/>
          <w:numId w:val="8"/>
        </w:numPr>
        <w:autoSpaceDE/>
        <w:autoSpaceDN/>
        <w:adjustRightInd/>
        <w:spacing w:line="360" w:lineRule="auto"/>
        <w:ind w:left="567" w:hanging="567"/>
        <w:contextualSpacing/>
        <w:jc w:val="both"/>
        <w:rPr>
          <w:rFonts w:ascii="Calibri" w:hAnsi="Calibri" w:cs="Calibri"/>
          <w:i w:val="0"/>
          <w:iCs w:val="0"/>
          <w:sz w:val="22"/>
          <w:szCs w:val="22"/>
        </w:rPr>
      </w:pPr>
      <w:r w:rsidRPr="009127C3">
        <w:rPr>
          <w:rFonts w:ascii="Calibri" w:hAnsi="Calibri" w:cs="Calibri"/>
          <w:i w:val="0"/>
          <w:iCs w:val="0"/>
          <w:sz w:val="22"/>
          <w:szCs w:val="22"/>
        </w:rPr>
        <w:t xml:space="preserve">pozostałe elementy infrastruktury podziemnej niezbędnej do funkcjonowania </w:t>
      </w:r>
      <w:r w:rsidRPr="009127C3">
        <w:rPr>
          <w:rFonts w:ascii="Calibri" w:hAnsi="Calibri" w:cs="Calibri"/>
          <w:i w:val="0"/>
          <w:iCs w:val="0"/>
          <w:sz w:val="22"/>
          <w:szCs w:val="22"/>
        </w:rPr>
        <w:br/>
        <w:t xml:space="preserve">ww. inwestycji. </w:t>
      </w:r>
    </w:p>
    <w:p w:rsidR="009127C3" w:rsidRPr="009127C3" w:rsidRDefault="009127C3" w:rsidP="009127C3">
      <w:pPr>
        <w:widowControl/>
        <w:autoSpaceDE/>
        <w:autoSpaceDN/>
        <w:adjustRightInd/>
        <w:spacing w:line="360" w:lineRule="auto"/>
        <w:ind w:left="-11"/>
        <w:contextualSpacing/>
        <w:jc w:val="both"/>
        <w:rPr>
          <w:rFonts w:ascii="Calibri" w:hAnsi="Calibri" w:cs="Calibri"/>
          <w:i w:val="0"/>
          <w:iCs w:val="0"/>
          <w:sz w:val="22"/>
          <w:szCs w:val="22"/>
        </w:rPr>
      </w:pPr>
      <w:r w:rsidRPr="009127C3">
        <w:rPr>
          <w:rFonts w:ascii="Calibri" w:hAnsi="Calibri" w:cs="Calibri"/>
          <w:i w:val="0"/>
          <w:iCs w:val="0"/>
          <w:sz w:val="22"/>
          <w:szCs w:val="22"/>
        </w:rPr>
        <w:t xml:space="preserve">Panele będą mocowane na konstrukcji wolnostojącej. Kąt nachylenia paneli będzie wynosił od 200 do 45° względem powierzchni terenu. Konstrukcja nośna (montażowa tzw. stoły fotowoltaiczne) opierać </w:t>
      </w:r>
      <w:r w:rsidRPr="009127C3">
        <w:rPr>
          <w:rFonts w:ascii="Calibri" w:hAnsi="Calibri" w:cs="Calibri"/>
          <w:i w:val="0"/>
          <w:iCs w:val="0"/>
          <w:sz w:val="22"/>
          <w:szCs w:val="22"/>
        </w:rPr>
        <w:lastRenderedPageBreak/>
        <w:t xml:space="preserve">się będzie na pojedynczych lub podwójnych, stalowych podporach, wbijanych za pomocą kafara w podłoże lub umiejscowione w gruncie metodą odwiertu. Maksymalna wysokość zabudowy nie przekroczy 3,5 m. Na terenie obiektu zostaną zlokalizowanie nieutwardzone ścieżki przejazdowe o szerokości do 5 m. </w:t>
      </w:r>
    </w:p>
    <w:p w:rsidR="009127C3" w:rsidRPr="009127C3" w:rsidRDefault="009127C3" w:rsidP="009127C3">
      <w:pPr>
        <w:widowControl/>
        <w:autoSpaceDE/>
        <w:autoSpaceDN/>
        <w:adjustRightInd/>
        <w:spacing w:line="360" w:lineRule="auto"/>
        <w:ind w:left="-11"/>
        <w:contextualSpacing/>
        <w:jc w:val="both"/>
        <w:rPr>
          <w:rFonts w:ascii="Calibri" w:hAnsi="Calibri" w:cs="Calibri"/>
          <w:i w:val="0"/>
          <w:iCs w:val="0"/>
          <w:sz w:val="22"/>
          <w:szCs w:val="22"/>
        </w:rPr>
      </w:pPr>
      <w:r w:rsidRPr="009127C3">
        <w:rPr>
          <w:rFonts w:ascii="Calibri" w:hAnsi="Calibri" w:cs="Calibri"/>
          <w:i w:val="0"/>
          <w:iCs w:val="0"/>
          <w:sz w:val="22"/>
          <w:szCs w:val="22"/>
        </w:rPr>
        <w:t xml:space="preserve">W związku z realizacją przedsięwzięcia nie planuje się wycinki drzew. </w:t>
      </w:r>
    </w:p>
    <w:p w:rsidR="009127C3" w:rsidRPr="009127C3" w:rsidRDefault="009127C3" w:rsidP="009127C3">
      <w:pPr>
        <w:widowControl/>
        <w:autoSpaceDE/>
        <w:autoSpaceDN/>
        <w:adjustRightInd/>
        <w:spacing w:line="360" w:lineRule="auto"/>
        <w:ind w:left="-11"/>
        <w:contextualSpacing/>
        <w:jc w:val="both"/>
        <w:rPr>
          <w:rFonts w:ascii="Calibri" w:hAnsi="Calibri" w:cs="Calibri"/>
          <w:i w:val="0"/>
          <w:iCs w:val="0"/>
          <w:sz w:val="22"/>
          <w:szCs w:val="22"/>
        </w:rPr>
      </w:pPr>
      <w:r w:rsidRPr="009127C3">
        <w:rPr>
          <w:rFonts w:ascii="Calibri" w:hAnsi="Calibri" w:cs="Calibri"/>
          <w:i w:val="0"/>
          <w:iCs w:val="0"/>
          <w:sz w:val="22"/>
          <w:szCs w:val="22"/>
        </w:rPr>
        <w:t>Łączna powierzchnia zabudowy terenu, na którym planuje się lokalizację elektrowni fotowoltaicznej wraz z towarzyszącą infrastrukturą techniczną, wynosi do 3,5 ha (panele fotowoltaiczne na stelażach stalowych, abonencka stacja, infrastruktura pomocnicza);</w:t>
      </w:r>
    </w:p>
    <w:p w:rsidR="009127C3" w:rsidRPr="009127C3" w:rsidRDefault="009127C3" w:rsidP="009127C3">
      <w:pPr>
        <w:widowControl/>
        <w:autoSpaceDE/>
        <w:autoSpaceDN/>
        <w:adjustRightInd/>
        <w:spacing w:line="360" w:lineRule="auto"/>
        <w:jc w:val="both"/>
        <w:rPr>
          <w:rFonts w:ascii="Calibri" w:hAnsi="Calibri" w:cs="Calibri"/>
          <w:i w:val="0"/>
          <w:iCs w:val="0"/>
          <w:sz w:val="22"/>
          <w:szCs w:val="22"/>
        </w:rPr>
      </w:pPr>
      <w:r w:rsidRPr="009127C3">
        <w:rPr>
          <w:rFonts w:ascii="Calibri" w:hAnsi="Calibri" w:cs="Calibri"/>
          <w:i w:val="0"/>
          <w:iCs w:val="0"/>
          <w:sz w:val="22"/>
          <w:szCs w:val="22"/>
        </w:rPr>
        <w:t xml:space="preserve">Na podstawie danych z Planu gospodarowania wodami na obszarze dorzecza Wisły opublikowanym w Rozporządzeniu Rady Ministrów z dnia 18  października 2016r. poz. 1911 i 1958 ustalono, iż przedsięwzięcie znajduje się w regionie wodnym Dolnej Wisły, na obszarze następujących jednolitych części wód: </w:t>
      </w:r>
    </w:p>
    <w:p w:rsidR="009127C3" w:rsidRPr="009127C3" w:rsidRDefault="009127C3" w:rsidP="009127C3">
      <w:pPr>
        <w:widowControl/>
        <w:autoSpaceDE/>
        <w:autoSpaceDN/>
        <w:adjustRightInd/>
        <w:spacing w:line="360" w:lineRule="auto"/>
        <w:jc w:val="both"/>
        <w:rPr>
          <w:rFonts w:ascii="Calibri" w:hAnsi="Calibri" w:cs="Calibri"/>
          <w:i w:val="0"/>
          <w:iCs w:val="0"/>
          <w:sz w:val="22"/>
          <w:szCs w:val="22"/>
        </w:rPr>
      </w:pPr>
      <w:r w:rsidRPr="009127C3">
        <w:rPr>
          <w:rFonts w:ascii="Calibri" w:hAnsi="Calibri" w:cs="Calibri"/>
          <w:i w:val="0"/>
          <w:iCs w:val="0"/>
          <w:sz w:val="22"/>
          <w:szCs w:val="22"/>
        </w:rPr>
        <w:t xml:space="preserve">powierzchniowych: </w:t>
      </w:r>
    </w:p>
    <w:p w:rsidR="009127C3" w:rsidRPr="009127C3" w:rsidRDefault="009127C3" w:rsidP="009127C3">
      <w:pPr>
        <w:widowControl/>
        <w:autoSpaceDE/>
        <w:autoSpaceDN/>
        <w:adjustRightInd/>
        <w:spacing w:line="360" w:lineRule="auto"/>
        <w:jc w:val="both"/>
        <w:rPr>
          <w:rFonts w:ascii="Calibri" w:hAnsi="Calibri" w:cs="Calibri"/>
          <w:i w:val="0"/>
          <w:iCs w:val="0"/>
          <w:sz w:val="22"/>
          <w:szCs w:val="22"/>
        </w:rPr>
      </w:pPr>
      <w:r w:rsidRPr="009127C3">
        <w:rPr>
          <w:rFonts w:ascii="Calibri" w:hAnsi="Calibri" w:cs="Calibri"/>
          <w:i w:val="0"/>
          <w:iCs w:val="0"/>
          <w:sz w:val="22"/>
          <w:szCs w:val="22"/>
        </w:rPr>
        <w:t xml:space="preserve">• kod: PLRW200023522589 Cyganka. Stanowi ona naturalną część wód, jest monitorowana. Jej stan ogólny określono jako zły (stan ekologiczny umiarkowany, stan chemiczny dobry). JCWP jest zagrożona ryzykiem nieosiągnięcia celów środowiskowych. Cel środowiskowy dla JCWP to dobry stan ekologiczny oraz dobry stan chemiczny. Dla JCWP określono odstępstwo od osiągnięcia celów środowiskowych  tj. przedłużenie terminu osiągnięcia celów środowiskowych ze względu na brak możliwości technicznych, termin osiągnięcia celów środowiskowych wskazani) na 2021  rok. </w:t>
      </w:r>
    </w:p>
    <w:p w:rsidR="009127C3" w:rsidRPr="009127C3" w:rsidRDefault="009127C3" w:rsidP="009127C3">
      <w:pPr>
        <w:widowControl/>
        <w:autoSpaceDE/>
        <w:autoSpaceDN/>
        <w:adjustRightInd/>
        <w:spacing w:line="360" w:lineRule="auto"/>
        <w:jc w:val="both"/>
        <w:rPr>
          <w:rFonts w:ascii="Calibri" w:hAnsi="Calibri" w:cs="Calibri"/>
          <w:i w:val="0"/>
          <w:iCs w:val="0"/>
          <w:sz w:val="22"/>
          <w:szCs w:val="22"/>
        </w:rPr>
      </w:pPr>
      <w:r w:rsidRPr="009127C3">
        <w:rPr>
          <w:rFonts w:ascii="Calibri" w:hAnsi="Calibri" w:cs="Calibri"/>
          <w:i w:val="0"/>
          <w:iCs w:val="0"/>
          <w:sz w:val="22"/>
          <w:szCs w:val="22"/>
        </w:rPr>
        <w:t>W JCWP znajdują się obszary chronione przeznaczone do ochrony siedlisk lub gatunków, o których   mowa w przepisach ustawy z dnia 16 kwietnia 2004r. o ochronie przyrody (tj. Dz.U. 2020 poz. 55 z </w:t>
      </w:r>
      <w:proofErr w:type="spellStart"/>
      <w:r w:rsidRPr="009127C3">
        <w:rPr>
          <w:rFonts w:ascii="Calibri" w:hAnsi="Calibri" w:cs="Calibri"/>
          <w:i w:val="0"/>
          <w:iCs w:val="0"/>
          <w:sz w:val="22"/>
          <w:szCs w:val="22"/>
        </w:rPr>
        <w:t>późn</w:t>
      </w:r>
      <w:proofErr w:type="spellEnd"/>
      <w:r w:rsidRPr="009127C3">
        <w:rPr>
          <w:rFonts w:ascii="Calibri" w:hAnsi="Calibri" w:cs="Calibri"/>
          <w:i w:val="0"/>
          <w:iCs w:val="0"/>
          <w:sz w:val="22"/>
          <w:szCs w:val="22"/>
        </w:rPr>
        <w:t xml:space="preserve">. zm.), dla których utrzymanie lub poprawa stanu wód jest ważnym czynnikiem </w:t>
      </w:r>
      <w:r w:rsidRPr="009127C3">
        <w:rPr>
          <w:rFonts w:ascii="Calibri" w:hAnsi="Calibri" w:cs="Calibri"/>
          <w:i w:val="0"/>
          <w:iCs w:val="0"/>
          <w:sz w:val="22"/>
          <w:szCs w:val="22"/>
        </w:rPr>
        <w:br/>
        <w:t xml:space="preserve">w ich ochronie dla którego cele środowiskowe zostały określone w akcie będącym podstawą prawną  obszaru. Planowane przedsięwzięcie położone jest w </w:t>
      </w:r>
      <w:proofErr w:type="spellStart"/>
      <w:r w:rsidRPr="009127C3">
        <w:rPr>
          <w:rFonts w:ascii="Calibri" w:hAnsi="Calibri" w:cs="Calibri"/>
          <w:i w:val="0"/>
          <w:iCs w:val="0"/>
          <w:sz w:val="22"/>
          <w:szCs w:val="22"/>
        </w:rPr>
        <w:t>Sadlińskim</w:t>
      </w:r>
      <w:proofErr w:type="spellEnd"/>
      <w:r w:rsidRPr="009127C3">
        <w:rPr>
          <w:rFonts w:ascii="Calibri" w:hAnsi="Calibri" w:cs="Calibri"/>
          <w:i w:val="0"/>
          <w:iCs w:val="0"/>
          <w:sz w:val="22"/>
          <w:szCs w:val="22"/>
        </w:rPr>
        <w:t xml:space="preserve"> Obszarze Chronionego Krajobrazu, </w:t>
      </w:r>
    </w:p>
    <w:p w:rsidR="009127C3" w:rsidRPr="009127C3" w:rsidRDefault="009127C3" w:rsidP="009127C3">
      <w:pPr>
        <w:widowControl/>
        <w:autoSpaceDE/>
        <w:autoSpaceDN/>
        <w:adjustRightInd/>
        <w:spacing w:line="360" w:lineRule="auto"/>
        <w:jc w:val="both"/>
        <w:rPr>
          <w:rFonts w:ascii="Calibri" w:hAnsi="Calibri" w:cs="Calibri"/>
          <w:i w:val="0"/>
          <w:iCs w:val="0"/>
          <w:sz w:val="22"/>
          <w:szCs w:val="22"/>
        </w:rPr>
      </w:pPr>
      <w:r w:rsidRPr="009127C3">
        <w:rPr>
          <w:rFonts w:ascii="Calibri" w:hAnsi="Calibri" w:cs="Calibri"/>
          <w:i w:val="0"/>
          <w:iCs w:val="0"/>
          <w:sz w:val="22"/>
          <w:szCs w:val="22"/>
        </w:rPr>
        <w:t xml:space="preserve">podziemnych: </w:t>
      </w:r>
    </w:p>
    <w:p w:rsidR="009127C3" w:rsidRPr="009127C3" w:rsidRDefault="009127C3" w:rsidP="009127C3">
      <w:pPr>
        <w:widowControl/>
        <w:autoSpaceDE/>
        <w:autoSpaceDN/>
        <w:adjustRightInd/>
        <w:spacing w:line="360" w:lineRule="auto"/>
        <w:jc w:val="both"/>
        <w:rPr>
          <w:rFonts w:ascii="Calibri" w:hAnsi="Calibri" w:cs="Calibri"/>
          <w:i w:val="0"/>
          <w:iCs w:val="0"/>
          <w:sz w:val="22"/>
          <w:szCs w:val="22"/>
        </w:rPr>
      </w:pPr>
      <w:r w:rsidRPr="009127C3">
        <w:rPr>
          <w:rFonts w:ascii="Calibri" w:hAnsi="Calibri" w:cs="Calibri"/>
          <w:i w:val="0"/>
          <w:iCs w:val="0"/>
          <w:sz w:val="22"/>
          <w:szCs w:val="22"/>
        </w:rPr>
        <w:t xml:space="preserve">• kod: PLGW200030 — </w:t>
      </w:r>
      <w:proofErr w:type="spellStart"/>
      <w:r w:rsidRPr="009127C3">
        <w:rPr>
          <w:rFonts w:ascii="Calibri" w:hAnsi="Calibri" w:cs="Calibri"/>
          <w:i w:val="0"/>
          <w:iCs w:val="0"/>
          <w:sz w:val="22"/>
          <w:szCs w:val="22"/>
        </w:rPr>
        <w:t>JCWPd</w:t>
      </w:r>
      <w:proofErr w:type="spellEnd"/>
      <w:r w:rsidRPr="009127C3">
        <w:rPr>
          <w:rFonts w:ascii="Calibri" w:hAnsi="Calibri" w:cs="Calibri"/>
          <w:i w:val="0"/>
          <w:iCs w:val="0"/>
          <w:sz w:val="22"/>
          <w:szCs w:val="22"/>
        </w:rPr>
        <w:t xml:space="preserve"> charakteryzuje się dobrym stanem ilościowym oraz chemicznym. </w:t>
      </w:r>
      <w:proofErr w:type="spellStart"/>
      <w:r w:rsidRPr="009127C3">
        <w:rPr>
          <w:rFonts w:ascii="Calibri" w:hAnsi="Calibri" w:cs="Calibri"/>
          <w:i w:val="0"/>
          <w:iCs w:val="0"/>
          <w:sz w:val="22"/>
          <w:szCs w:val="22"/>
        </w:rPr>
        <w:t>JCWPd</w:t>
      </w:r>
      <w:proofErr w:type="spellEnd"/>
      <w:r w:rsidRPr="009127C3">
        <w:rPr>
          <w:rFonts w:ascii="Calibri" w:hAnsi="Calibri" w:cs="Calibri"/>
          <w:i w:val="0"/>
          <w:iCs w:val="0"/>
          <w:sz w:val="22"/>
          <w:szCs w:val="22"/>
        </w:rPr>
        <w:t xml:space="preserve"> jest zagrożona ryzykiem nieosiągnięcia celów środowiskowych. Cel środowiskowy dla </w:t>
      </w:r>
      <w:proofErr w:type="spellStart"/>
      <w:r w:rsidRPr="009127C3">
        <w:rPr>
          <w:rFonts w:ascii="Calibri" w:hAnsi="Calibri" w:cs="Calibri"/>
          <w:i w:val="0"/>
          <w:iCs w:val="0"/>
          <w:sz w:val="22"/>
          <w:szCs w:val="22"/>
        </w:rPr>
        <w:t>JCWPd</w:t>
      </w:r>
      <w:proofErr w:type="spellEnd"/>
      <w:r w:rsidRPr="009127C3">
        <w:rPr>
          <w:rFonts w:ascii="Calibri" w:hAnsi="Calibri" w:cs="Calibri"/>
          <w:i w:val="0"/>
          <w:iCs w:val="0"/>
          <w:sz w:val="22"/>
          <w:szCs w:val="22"/>
        </w:rPr>
        <w:t xml:space="preserve"> to utrzymanie dobrego stanu ilościowego oraz chemicznego. </w:t>
      </w:r>
    </w:p>
    <w:p w:rsidR="009127C3" w:rsidRPr="009127C3" w:rsidRDefault="009127C3" w:rsidP="009127C3">
      <w:pPr>
        <w:widowControl/>
        <w:autoSpaceDE/>
        <w:autoSpaceDN/>
        <w:adjustRightInd/>
        <w:spacing w:line="360" w:lineRule="auto"/>
        <w:jc w:val="both"/>
        <w:rPr>
          <w:rFonts w:ascii="Calibri" w:hAnsi="Calibri" w:cs="Calibri"/>
          <w:i w:val="0"/>
          <w:iCs w:val="0"/>
          <w:sz w:val="22"/>
          <w:szCs w:val="22"/>
        </w:rPr>
      </w:pPr>
      <w:r w:rsidRPr="009127C3">
        <w:rPr>
          <w:rFonts w:ascii="Calibri" w:hAnsi="Calibri" w:cs="Calibri"/>
          <w:i w:val="0"/>
          <w:iCs w:val="0"/>
          <w:sz w:val="22"/>
          <w:szCs w:val="22"/>
        </w:rPr>
        <w:t xml:space="preserve">Planowane przedsięwzięcie nie znajduje się na obszarze stref ochronnych ujęć wód ani na obszarze ochronnym zbiorników wód śródlądowych. Nie jest zlokalizowane na obszarze szczególnego zagrożenia powodzią w rozumieniu art. 16 pkt 34 ustawy z dnia 20 lipca 2017r. Prawo wodne. </w:t>
      </w:r>
    </w:p>
    <w:p w:rsidR="009127C3" w:rsidRPr="009127C3" w:rsidRDefault="009127C3" w:rsidP="009127C3">
      <w:pPr>
        <w:widowControl/>
        <w:autoSpaceDE/>
        <w:autoSpaceDN/>
        <w:adjustRightInd/>
        <w:spacing w:line="360" w:lineRule="auto"/>
        <w:jc w:val="both"/>
        <w:rPr>
          <w:rFonts w:ascii="Calibri" w:hAnsi="Calibri" w:cs="Calibri"/>
          <w:i w:val="0"/>
          <w:iCs w:val="0"/>
          <w:sz w:val="22"/>
          <w:szCs w:val="22"/>
        </w:rPr>
      </w:pPr>
      <w:r w:rsidRPr="009127C3">
        <w:rPr>
          <w:rFonts w:ascii="Calibri" w:hAnsi="Calibri" w:cs="Calibri"/>
          <w:i w:val="0"/>
          <w:iCs w:val="0"/>
          <w:sz w:val="22"/>
          <w:szCs w:val="22"/>
        </w:rPr>
        <w:t>W trakcie realizacji i eksploatacji inwestycji, środowisko gruntowo-wodne i wód powierzchniowych będzie właściwie chronione  przed jej potencjalnym  wpływem,  jak  również nie będzie negatywnego oddziaływania na jednolite części wód podziemnych i powierzchniowych wyodrębnionych na mocy Ramowej Dyrektywy Wodnej.</w:t>
      </w:r>
    </w:p>
    <w:p w:rsidR="009127C3" w:rsidRPr="009127C3" w:rsidRDefault="009127C3" w:rsidP="009127C3">
      <w:pPr>
        <w:kinsoku w:val="0"/>
        <w:overflowPunct w:val="0"/>
        <w:autoSpaceDE/>
        <w:autoSpaceDN/>
        <w:adjustRightInd/>
        <w:spacing w:line="360" w:lineRule="auto"/>
        <w:jc w:val="both"/>
        <w:textAlignment w:val="baseline"/>
        <w:rPr>
          <w:rFonts w:ascii="Calibri" w:hAnsi="Calibri" w:cs="Calibri"/>
          <w:i w:val="0"/>
          <w:iCs w:val="0"/>
          <w:sz w:val="22"/>
          <w:szCs w:val="22"/>
        </w:rPr>
      </w:pPr>
      <w:r w:rsidRPr="009127C3">
        <w:rPr>
          <w:rFonts w:ascii="Calibri" w:hAnsi="Calibri" w:cs="Calibri"/>
          <w:i w:val="0"/>
          <w:iCs w:val="0"/>
          <w:sz w:val="22"/>
          <w:szCs w:val="22"/>
        </w:rPr>
        <w:lastRenderedPageBreak/>
        <w:t xml:space="preserve">Inwestycja zlokalizowana będzie na działce nr 138/1, obręb Rakowice, gmina Kwidzyn. Przedmiotowa działka ma powierzchnię około 16 ha, natomiast przedsięwzięcie zajmie powierzchnię około 3,5 ha. Występuje tu roślinność o charakterze rolniczym. Obszar pod planowaną inwestycję stanowią grunty rolne klasy </w:t>
      </w:r>
      <w:proofErr w:type="spellStart"/>
      <w:r w:rsidRPr="009127C3">
        <w:rPr>
          <w:rFonts w:ascii="Calibri" w:hAnsi="Calibri" w:cs="Calibri"/>
          <w:i w:val="0"/>
          <w:iCs w:val="0"/>
          <w:sz w:val="22"/>
          <w:szCs w:val="22"/>
        </w:rPr>
        <w:t>IVa</w:t>
      </w:r>
      <w:proofErr w:type="spellEnd"/>
      <w:r w:rsidRPr="009127C3">
        <w:rPr>
          <w:rFonts w:ascii="Calibri" w:hAnsi="Calibri" w:cs="Calibri"/>
          <w:i w:val="0"/>
          <w:iCs w:val="0"/>
          <w:sz w:val="22"/>
          <w:szCs w:val="22"/>
        </w:rPr>
        <w:t xml:space="preserve"> i V. Działka przeznaczona pod inwestycję znajduje się w otoczeniu terenem rolniczych oraz drogi gminnej gruntowej. Od zachodu przedmiotowa działka graniczy z terenem leśnym. Zgodnie z treścią KIP, w obrębie przedsięwzięcia brak siedlisk przyrodniczych oraz chronionych gatunków roślin. W związku z realizacją przedsięwzięcia nie planuje się wycinki drzew ani krzewów. Dominuje tu niska zabudowa mieszkaniowa. Dojazd do terenu inwestycji zapewnia droga gminna. Zgodnie z KIP, najbliższe inwestycji tereny z zabudową mieszkaniową znajdują się w odległości około 230 m (od elektrowni fotowoltaicznej). </w:t>
      </w:r>
    </w:p>
    <w:p w:rsidR="009127C3" w:rsidRPr="009127C3" w:rsidRDefault="009127C3" w:rsidP="009127C3">
      <w:pPr>
        <w:kinsoku w:val="0"/>
        <w:overflowPunct w:val="0"/>
        <w:autoSpaceDE/>
        <w:autoSpaceDN/>
        <w:adjustRightInd/>
        <w:spacing w:line="360" w:lineRule="auto"/>
        <w:jc w:val="both"/>
        <w:textAlignment w:val="baseline"/>
        <w:rPr>
          <w:rFonts w:ascii="Calibri" w:hAnsi="Calibri" w:cs="Calibri"/>
          <w:i w:val="0"/>
          <w:iCs w:val="0"/>
          <w:sz w:val="22"/>
          <w:szCs w:val="22"/>
        </w:rPr>
      </w:pPr>
      <w:r w:rsidRPr="009127C3">
        <w:rPr>
          <w:rFonts w:ascii="Calibri" w:hAnsi="Calibri" w:cs="Calibri"/>
          <w:i w:val="0"/>
          <w:iCs w:val="0"/>
          <w:sz w:val="22"/>
          <w:szCs w:val="22"/>
        </w:rPr>
        <w:t xml:space="preserve">Planowane przedsięwzięcie zlokalizowane jest w </w:t>
      </w:r>
      <w:proofErr w:type="spellStart"/>
      <w:r w:rsidRPr="009127C3">
        <w:rPr>
          <w:rFonts w:ascii="Calibri" w:hAnsi="Calibri" w:cs="Calibri"/>
          <w:i w:val="0"/>
          <w:iCs w:val="0"/>
          <w:sz w:val="22"/>
          <w:szCs w:val="22"/>
        </w:rPr>
        <w:t>Sadlińskim</w:t>
      </w:r>
      <w:proofErr w:type="spellEnd"/>
      <w:r w:rsidRPr="009127C3">
        <w:rPr>
          <w:rFonts w:ascii="Calibri" w:hAnsi="Calibri" w:cs="Calibri"/>
          <w:i w:val="0"/>
          <w:iCs w:val="0"/>
          <w:sz w:val="22"/>
          <w:szCs w:val="22"/>
        </w:rPr>
        <w:t xml:space="preserve"> Obszarze Chronionego Krajobrazu. </w:t>
      </w:r>
    </w:p>
    <w:p w:rsidR="009127C3" w:rsidRPr="009127C3" w:rsidRDefault="009127C3" w:rsidP="009127C3">
      <w:pPr>
        <w:kinsoku w:val="0"/>
        <w:overflowPunct w:val="0"/>
        <w:autoSpaceDE/>
        <w:autoSpaceDN/>
        <w:adjustRightInd/>
        <w:spacing w:line="360" w:lineRule="auto"/>
        <w:jc w:val="both"/>
        <w:textAlignment w:val="baseline"/>
        <w:rPr>
          <w:rFonts w:ascii="Calibri" w:hAnsi="Calibri" w:cs="Calibri"/>
          <w:i w:val="0"/>
          <w:iCs w:val="0"/>
          <w:sz w:val="22"/>
          <w:szCs w:val="22"/>
        </w:rPr>
      </w:pPr>
      <w:r w:rsidRPr="009127C3">
        <w:rPr>
          <w:rFonts w:ascii="Calibri" w:hAnsi="Calibri" w:cs="Calibri"/>
          <w:i w:val="0"/>
          <w:iCs w:val="0"/>
          <w:sz w:val="22"/>
          <w:szCs w:val="22"/>
        </w:rPr>
        <w:t xml:space="preserve">Inwestycja zlokalizowana jest poza granicami obszarów Natura 2000. Obszar sieci Natura 2000, położony najbliżej od terenu objętego inwestycją, to: </w:t>
      </w:r>
    </w:p>
    <w:p w:rsidR="009127C3" w:rsidRPr="009127C3" w:rsidRDefault="009127C3" w:rsidP="009127C3">
      <w:pPr>
        <w:kinsoku w:val="0"/>
        <w:overflowPunct w:val="0"/>
        <w:autoSpaceDE/>
        <w:autoSpaceDN/>
        <w:adjustRightInd/>
        <w:spacing w:line="360" w:lineRule="auto"/>
        <w:jc w:val="both"/>
        <w:textAlignment w:val="baseline"/>
        <w:rPr>
          <w:rFonts w:ascii="Calibri" w:hAnsi="Calibri" w:cs="Calibri"/>
          <w:i w:val="0"/>
          <w:iCs w:val="0"/>
          <w:sz w:val="22"/>
          <w:szCs w:val="22"/>
        </w:rPr>
      </w:pPr>
      <w:r w:rsidRPr="009127C3">
        <w:rPr>
          <w:rFonts w:ascii="Calibri" w:hAnsi="Calibri" w:cs="Calibri"/>
          <w:i w:val="0"/>
          <w:iCs w:val="0"/>
          <w:sz w:val="22"/>
          <w:szCs w:val="22"/>
        </w:rPr>
        <w:t xml:space="preserve">— Dolina Dolnej Wisły PLB040003, w odległości około 8,7 km na zachód, </w:t>
      </w:r>
    </w:p>
    <w:p w:rsidR="009127C3" w:rsidRPr="009127C3" w:rsidRDefault="009127C3" w:rsidP="009127C3">
      <w:pPr>
        <w:kinsoku w:val="0"/>
        <w:overflowPunct w:val="0"/>
        <w:autoSpaceDE/>
        <w:autoSpaceDN/>
        <w:adjustRightInd/>
        <w:spacing w:line="360" w:lineRule="auto"/>
        <w:jc w:val="both"/>
        <w:textAlignment w:val="baseline"/>
        <w:rPr>
          <w:rFonts w:ascii="Calibri" w:hAnsi="Calibri" w:cs="Calibri"/>
          <w:i w:val="0"/>
          <w:iCs w:val="0"/>
          <w:sz w:val="22"/>
          <w:szCs w:val="22"/>
        </w:rPr>
      </w:pPr>
      <w:r w:rsidRPr="009127C3">
        <w:rPr>
          <w:rFonts w:ascii="Calibri" w:hAnsi="Calibri" w:cs="Calibri"/>
          <w:i w:val="0"/>
          <w:iCs w:val="0"/>
          <w:sz w:val="22"/>
          <w:szCs w:val="22"/>
        </w:rPr>
        <w:t xml:space="preserve">— Dolna Wisła PLH220033, w odległości około 8,7 km na zachód. </w:t>
      </w:r>
    </w:p>
    <w:p w:rsidR="009127C3" w:rsidRPr="009127C3" w:rsidRDefault="009127C3" w:rsidP="009127C3">
      <w:pPr>
        <w:kinsoku w:val="0"/>
        <w:overflowPunct w:val="0"/>
        <w:autoSpaceDE/>
        <w:autoSpaceDN/>
        <w:adjustRightInd/>
        <w:spacing w:line="360" w:lineRule="auto"/>
        <w:jc w:val="both"/>
        <w:textAlignment w:val="baseline"/>
        <w:rPr>
          <w:rFonts w:ascii="Calibri" w:hAnsi="Calibri" w:cs="Calibri"/>
          <w:i w:val="0"/>
          <w:iCs w:val="0"/>
          <w:sz w:val="22"/>
          <w:szCs w:val="22"/>
        </w:rPr>
      </w:pPr>
      <w:r w:rsidRPr="009127C3">
        <w:rPr>
          <w:rFonts w:ascii="Calibri" w:hAnsi="Calibri" w:cs="Calibri"/>
          <w:i w:val="0"/>
          <w:iCs w:val="0"/>
          <w:sz w:val="22"/>
          <w:szCs w:val="22"/>
        </w:rPr>
        <w:t xml:space="preserve">Przedmiotowa inwestycja zlokalizowana jest poza pozostałymi obszarami objętymi ochroną na podstawie przepisu ustawy z dnia 16 kwietnia 2004r. o ochronie przyrody (tj. Dz. U. z 2020r., poz. 55, ze zm.). Obszar chroniony na podstawie przepisów ww. ustawy, położony najbliżej terenu objętego inwestycją, to: </w:t>
      </w:r>
    </w:p>
    <w:p w:rsidR="009127C3" w:rsidRPr="009127C3" w:rsidRDefault="009127C3" w:rsidP="009127C3">
      <w:pPr>
        <w:kinsoku w:val="0"/>
        <w:overflowPunct w:val="0"/>
        <w:autoSpaceDE/>
        <w:autoSpaceDN/>
        <w:adjustRightInd/>
        <w:spacing w:line="360" w:lineRule="auto"/>
        <w:jc w:val="both"/>
        <w:textAlignment w:val="baseline"/>
        <w:rPr>
          <w:rFonts w:ascii="Calibri" w:hAnsi="Calibri" w:cs="Calibri"/>
          <w:i w:val="0"/>
          <w:iCs w:val="0"/>
          <w:sz w:val="22"/>
          <w:szCs w:val="22"/>
        </w:rPr>
      </w:pPr>
      <w:r w:rsidRPr="009127C3">
        <w:rPr>
          <w:rFonts w:ascii="Calibri" w:hAnsi="Calibri" w:cs="Calibri"/>
          <w:i w:val="0"/>
          <w:iCs w:val="0"/>
          <w:sz w:val="22"/>
          <w:szCs w:val="22"/>
        </w:rPr>
        <w:t xml:space="preserve">— rezerwat przyrody „Kwidzyńskie Ostnice", w odległości około 1,8 km na zachód, </w:t>
      </w:r>
    </w:p>
    <w:p w:rsidR="009127C3" w:rsidRPr="009127C3" w:rsidRDefault="009127C3" w:rsidP="009127C3">
      <w:pPr>
        <w:kinsoku w:val="0"/>
        <w:overflowPunct w:val="0"/>
        <w:autoSpaceDE/>
        <w:autoSpaceDN/>
        <w:adjustRightInd/>
        <w:spacing w:line="360" w:lineRule="auto"/>
        <w:jc w:val="both"/>
        <w:textAlignment w:val="baseline"/>
        <w:rPr>
          <w:rFonts w:ascii="Calibri" w:hAnsi="Calibri" w:cs="Calibri"/>
          <w:i w:val="0"/>
          <w:iCs w:val="0"/>
          <w:sz w:val="22"/>
          <w:szCs w:val="22"/>
        </w:rPr>
      </w:pPr>
      <w:r w:rsidRPr="009127C3">
        <w:rPr>
          <w:rFonts w:ascii="Calibri" w:hAnsi="Calibri" w:cs="Calibri"/>
          <w:i w:val="0"/>
          <w:iCs w:val="0"/>
          <w:sz w:val="22"/>
          <w:szCs w:val="22"/>
        </w:rPr>
        <w:t xml:space="preserve">— Morawski Obszar Chronionego Krajobrazu, w odległości około 2,8 km na zachód. </w:t>
      </w:r>
    </w:p>
    <w:p w:rsidR="009127C3" w:rsidRPr="009127C3" w:rsidRDefault="009127C3" w:rsidP="009127C3">
      <w:pPr>
        <w:kinsoku w:val="0"/>
        <w:overflowPunct w:val="0"/>
        <w:autoSpaceDE/>
        <w:autoSpaceDN/>
        <w:adjustRightInd/>
        <w:spacing w:line="360" w:lineRule="auto"/>
        <w:jc w:val="both"/>
        <w:textAlignment w:val="baseline"/>
        <w:rPr>
          <w:rFonts w:ascii="Calibri" w:hAnsi="Calibri" w:cs="Calibri"/>
          <w:i w:val="0"/>
          <w:iCs w:val="0"/>
          <w:sz w:val="22"/>
          <w:szCs w:val="22"/>
        </w:rPr>
      </w:pPr>
      <w:r w:rsidRPr="009127C3">
        <w:rPr>
          <w:rFonts w:ascii="Calibri" w:hAnsi="Calibri" w:cs="Calibri"/>
          <w:i w:val="0"/>
          <w:iCs w:val="0"/>
          <w:sz w:val="22"/>
          <w:szCs w:val="22"/>
        </w:rPr>
        <w:t xml:space="preserve">Przedmiotowa działka znajduje się w korytarzu ekologicznym Lasy Iławskie - Bory Tucholskie GKPn-14A oraz w odległości około 37 m od ponadregionalnego korytarza ekologicznego Doliny Liwy i około 30 m od </w:t>
      </w:r>
      <w:proofErr w:type="spellStart"/>
      <w:r w:rsidRPr="009127C3">
        <w:rPr>
          <w:rFonts w:ascii="Calibri" w:hAnsi="Calibri" w:cs="Calibri"/>
          <w:i w:val="0"/>
          <w:iCs w:val="0"/>
          <w:sz w:val="22"/>
          <w:szCs w:val="22"/>
        </w:rPr>
        <w:t>subregionalnego</w:t>
      </w:r>
      <w:proofErr w:type="spellEnd"/>
      <w:r w:rsidRPr="009127C3">
        <w:rPr>
          <w:rFonts w:ascii="Calibri" w:hAnsi="Calibri" w:cs="Calibri"/>
          <w:i w:val="0"/>
          <w:iCs w:val="0"/>
          <w:sz w:val="22"/>
          <w:szCs w:val="22"/>
        </w:rPr>
        <w:t xml:space="preserve"> korytarza ekologicznego — łącznika doliny Liwy. </w:t>
      </w:r>
    </w:p>
    <w:p w:rsidR="009127C3" w:rsidRPr="009127C3" w:rsidRDefault="009127C3" w:rsidP="009127C3">
      <w:pPr>
        <w:kinsoku w:val="0"/>
        <w:overflowPunct w:val="0"/>
        <w:autoSpaceDE/>
        <w:autoSpaceDN/>
        <w:adjustRightInd/>
        <w:spacing w:line="360" w:lineRule="auto"/>
        <w:jc w:val="both"/>
        <w:textAlignment w:val="baseline"/>
        <w:rPr>
          <w:rFonts w:ascii="Calibri" w:hAnsi="Calibri" w:cs="Calibri"/>
          <w:i w:val="0"/>
          <w:iCs w:val="0"/>
          <w:sz w:val="22"/>
          <w:szCs w:val="22"/>
        </w:rPr>
      </w:pPr>
      <w:r w:rsidRPr="009127C3">
        <w:rPr>
          <w:rFonts w:ascii="Calibri" w:hAnsi="Calibri" w:cs="Calibri"/>
          <w:i w:val="0"/>
          <w:iCs w:val="0"/>
          <w:sz w:val="22"/>
          <w:szCs w:val="22"/>
        </w:rPr>
        <w:t>Przedsięwzięcie nie spowoduje utraty ciągłości i drożności ww. korytarza ekologicznego;</w:t>
      </w:r>
    </w:p>
    <w:p w:rsidR="008409CE" w:rsidRPr="00750558" w:rsidRDefault="008409CE" w:rsidP="009127C3">
      <w:pPr>
        <w:widowControl/>
        <w:autoSpaceDE/>
        <w:autoSpaceDN/>
        <w:adjustRightInd/>
        <w:spacing w:line="360" w:lineRule="auto"/>
        <w:jc w:val="both"/>
        <w:rPr>
          <w:rFonts w:ascii="Calibri" w:hAnsi="Calibri" w:cs="Times New Roman"/>
          <w:i w:val="0"/>
          <w:iCs w:val="0"/>
          <w:color w:val="FF0000"/>
          <w:sz w:val="22"/>
          <w:szCs w:val="22"/>
        </w:rPr>
      </w:pPr>
    </w:p>
    <w:sectPr w:rsidR="008409CE" w:rsidRPr="00750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79D"/>
    <w:multiLevelType w:val="hybridMultilevel"/>
    <w:tmpl w:val="1110E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CC707DB"/>
    <w:multiLevelType w:val="hybridMultilevel"/>
    <w:tmpl w:val="316C7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79B6B9C"/>
    <w:multiLevelType w:val="hybridMultilevel"/>
    <w:tmpl w:val="07629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9EA157A"/>
    <w:multiLevelType w:val="hybridMultilevel"/>
    <w:tmpl w:val="351A9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47B32CC"/>
    <w:multiLevelType w:val="hybridMultilevel"/>
    <w:tmpl w:val="D01410EC"/>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6BB11C6"/>
    <w:multiLevelType w:val="hybridMultilevel"/>
    <w:tmpl w:val="36E43456"/>
    <w:lvl w:ilvl="0" w:tplc="04150001">
      <w:start w:val="1"/>
      <w:numFmt w:val="bullet"/>
      <w:lvlText w:val=""/>
      <w:lvlJc w:val="left"/>
      <w:pPr>
        <w:ind w:left="709" w:hanging="360"/>
      </w:pPr>
      <w:rPr>
        <w:rFonts w:ascii="Symbol" w:hAnsi="Symbo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6">
    <w:nsid w:val="6B253EA6"/>
    <w:multiLevelType w:val="hybridMultilevel"/>
    <w:tmpl w:val="6BDC3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0360B9A"/>
    <w:multiLevelType w:val="hybridMultilevel"/>
    <w:tmpl w:val="7A0CB8D2"/>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3"/>
  </w:num>
  <w:num w:numId="6">
    <w:abstractNumId w:val="0"/>
  </w:num>
  <w:num w:numId="7">
    <w:abstractNumId w:val="2"/>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3D"/>
    <w:rsid w:val="0000163D"/>
    <w:rsid w:val="000054E7"/>
    <w:rsid w:val="000215C9"/>
    <w:rsid w:val="00077303"/>
    <w:rsid w:val="000A1B0A"/>
    <w:rsid w:val="000C3AA5"/>
    <w:rsid w:val="000C3EE3"/>
    <w:rsid w:val="000D0A43"/>
    <w:rsid w:val="0012315B"/>
    <w:rsid w:val="001447A7"/>
    <w:rsid w:val="001626F4"/>
    <w:rsid w:val="00172C43"/>
    <w:rsid w:val="001F2A93"/>
    <w:rsid w:val="001F45A2"/>
    <w:rsid w:val="00202112"/>
    <w:rsid w:val="00211234"/>
    <w:rsid w:val="00213D22"/>
    <w:rsid w:val="00245D4E"/>
    <w:rsid w:val="00281477"/>
    <w:rsid w:val="002A4BA6"/>
    <w:rsid w:val="002A7C79"/>
    <w:rsid w:val="003403F9"/>
    <w:rsid w:val="0035188C"/>
    <w:rsid w:val="00354198"/>
    <w:rsid w:val="00383B24"/>
    <w:rsid w:val="003A66AF"/>
    <w:rsid w:val="003E0CD4"/>
    <w:rsid w:val="00497AF9"/>
    <w:rsid w:val="004D7E6D"/>
    <w:rsid w:val="00520504"/>
    <w:rsid w:val="005239C8"/>
    <w:rsid w:val="00640AE3"/>
    <w:rsid w:val="006436B8"/>
    <w:rsid w:val="006728F7"/>
    <w:rsid w:val="006A53BF"/>
    <w:rsid w:val="006E7441"/>
    <w:rsid w:val="006F2E4E"/>
    <w:rsid w:val="007446FA"/>
    <w:rsid w:val="00750558"/>
    <w:rsid w:val="0077638F"/>
    <w:rsid w:val="007C2806"/>
    <w:rsid w:val="007C2A12"/>
    <w:rsid w:val="007F24FE"/>
    <w:rsid w:val="008409CE"/>
    <w:rsid w:val="00850185"/>
    <w:rsid w:val="00881D7C"/>
    <w:rsid w:val="008E799E"/>
    <w:rsid w:val="008F364B"/>
    <w:rsid w:val="009012A5"/>
    <w:rsid w:val="009127C3"/>
    <w:rsid w:val="0091318D"/>
    <w:rsid w:val="009378AE"/>
    <w:rsid w:val="0095340C"/>
    <w:rsid w:val="00977519"/>
    <w:rsid w:val="009A7DC7"/>
    <w:rsid w:val="009B0DBA"/>
    <w:rsid w:val="009B6C9B"/>
    <w:rsid w:val="009C117B"/>
    <w:rsid w:val="009D740F"/>
    <w:rsid w:val="009F2B54"/>
    <w:rsid w:val="00A04CA9"/>
    <w:rsid w:val="00A06B09"/>
    <w:rsid w:val="00A2667A"/>
    <w:rsid w:val="00AC5459"/>
    <w:rsid w:val="00B32B57"/>
    <w:rsid w:val="00B73CA3"/>
    <w:rsid w:val="00B753B5"/>
    <w:rsid w:val="00B867FE"/>
    <w:rsid w:val="00B86ADC"/>
    <w:rsid w:val="00B958D0"/>
    <w:rsid w:val="00BB573F"/>
    <w:rsid w:val="00BC5470"/>
    <w:rsid w:val="00BF7CED"/>
    <w:rsid w:val="00C15C01"/>
    <w:rsid w:val="00C77FEC"/>
    <w:rsid w:val="00CA4D7B"/>
    <w:rsid w:val="00CC0094"/>
    <w:rsid w:val="00CD31D6"/>
    <w:rsid w:val="00CD528F"/>
    <w:rsid w:val="00D22F9B"/>
    <w:rsid w:val="00D45BCB"/>
    <w:rsid w:val="00D9258B"/>
    <w:rsid w:val="00DA00AE"/>
    <w:rsid w:val="00DA5D71"/>
    <w:rsid w:val="00E21294"/>
    <w:rsid w:val="00E414CA"/>
    <w:rsid w:val="00E43991"/>
    <w:rsid w:val="00E62623"/>
    <w:rsid w:val="00E90EA4"/>
    <w:rsid w:val="00E97480"/>
    <w:rsid w:val="00EC35AC"/>
    <w:rsid w:val="00F05A52"/>
    <w:rsid w:val="00F85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Obiekt,List Paragraph1,Numerowanie,List Paragraph,Z lewej:  0,63 cm,Wysunięcie:  0,Akapit z listą1,Liste à puces retrait droite"/>
    <w:basedOn w:val="Normalny"/>
    <w:link w:val="AkapitzlistZnak"/>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 w:type="character" w:customStyle="1" w:styleId="AkapitzlistZnak">
    <w:name w:val="Akapit z listą Znak"/>
    <w:aliases w:val="Obiekt Znak,List Paragraph1 Znak,Numerowanie Znak,List Paragraph Znak,Z lewej:  0 Znak,63 cm Znak,Wysunięcie:  0 Znak,Akapit z listą1 Znak,Liste à puces retrait droite Znak"/>
    <w:link w:val="Akapitzlist"/>
    <w:uiPriority w:val="34"/>
    <w:qFormat/>
    <w:rsid w:val="008409CE"/>
    <w:rPr>
      <w:rFonts w:ascii="Arial" w:eastAsia="Times New Roman" w:hAnsi="Arial" w:cs="Arial"/>
      <w:i/>
      <w:i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Obiekt,List Paragraph1,Numerowanie,List Paragraph,Z lewej:  0,63 cm,Wysunięcie:  0,Akapit z listą1,Liste à puces retrait droite"/>
    <w:basedOn w:val="Normalny"/>
    <w:link w:val="AkapitzlistZnak"/>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 w:type="character" w:customStyle="1" w:styleId="AkapitzlistZnak">
    <w:name w:val="Akapit z listą Znak"/>
    <w:aliases w:val="Obiekt Znak,List Paragraph1 Znak,Numerowanie Znak,List Paragraph Znak,Z lewej:  0 Znak,63 cm Znak,Wysunięcie:  0 Znak,Akapit z listą1 Znak,Liste à puces retrait droite Znak"/>
    <w:link w:val="Akapitzlist"/>
    <w:uiPriority w:val="34"/>
    <w:qFormat/>
    <w:rsid w:val="008409CE"/>
    <w:rPr>
      <w:rFonts w:ascii="Arial" w:eastAsia="Times New Roman" w:hAnsi="Arial" w:cs="Arial"/>
      <w:i/>
      <w:i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E78D6-DBE6-492B-B0CA-D50BC196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6159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zczarnuch</dc:creator>
  <cp:lastModifiedBy>Zaneta Czarnuch</cp:lastModifiedBy>
  <cp:revision>2</cp:revision>
  <cp:lastPrinted>2020-07-03T05:32:00Z</cp:lastPrinted>
  <dcterms:created xsi:type="dcterms:W3CDTF">2021-07-02T07:14:00Z</dcterms:created>
  <dcterms:modified xsi:type="dcterms:W3CDTF">2021-07-02T07:14:00Z</dcterms:modified>
</cp:coreProperties>
</file>