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4CB0" w14:textId="221DF312" w:rsidR="0000163D" w:rsidRPr="0036698F" w:rsidRDefault="00A06B09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00163D" w:rsidRPr="0036698F">
        <w:rPr>
          <w:rFonts w:ascii="Calibri" w:hAnsi="Calibri"/>
          <w:b/>
          <w:i w:val="0"/>
          <w:iCs w:val="0"/>
          <w:sz w:val="22"/>
          <w:szCs w:val="22"/>
        </w:rPr>
        <w:t>do decyzji o środowiskowy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ch uwarunkowaniach OŚiGW.6220.</w:t>
      </w:r>
      <w:r w:rsidR="00D15E9D">
        <w:rPr>
          <w:rFonts w:ascii="Calibri" w:hAnsi="Calibri"/>
          <w:b/>
          <w:i w:val="0"/>
          <w:iCs w:val="0"/>
          <w:sz w:val="22"/>
          <w:szCs w:val="22"/>
        </w:rPr>
        <w:t>2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.20</w:t>
      </w:r>
      <w:r w:rsidR="0084654B">
        <w:rPr>
          <w:rFonts w:ascii="Calibri" w:hAnsi="Calibri"/>
          <w:b/>
          <w:i w:val="0"/>
          <w:iCs w:val="0"/>
          <w:sz w:val="22"/>
          <w:szCs w:val="22"/>
        </w:rPr>
        <w:t>21</w:t>
      </w:r>
    </w:p>
    <w:p w14:paraId="0E84D2DC" w14:textId="77777777"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14:paraId="1899EA03" w14:textId="77777777"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14:paraId="1D3EA863" w14:textId="1066C6BB" w:rsidR="00F35072" w:rsidRDefault="0084654B" w:rsidP="00D15E9D">
      <w:pPr>
        <w:shd w:val="clear" w:color="auto" w:fill="FFFFFF"/>
        <w:spacing w:before="360"/>
        <w:ind w:left="2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„</w:t>
      </w:r>
      <w:r w:rsidR="00D15E9D">
        <w:rPr>
          <w:rFonts w:ascii="Calibri" w:hAnsi="Calibri" w:cs="Calibri"/>
          <w:b/>
          <w:sz w:val="22"/>
          <w:szCs w:val="22"/>
        </w:rPr>
        <w:t>B</w:t>
      </w:r>
      <w:r w:rsidR="00D15E9D" w:rsidRPr="00385EA5">
        <w:rPr>
          <w:rFonts w:ascii="Calibri" w:hAnsi="Calibri" w:cs="Calibri"/>
          <w:b/>
          <w:sz w:val="22"/>
          <w:szCs w:val="22"/>
        </w:rPr>
        <w:t>udow</w:t>
      </w:r>
      <w:r w:rsidR="00D15E9D">
        <w:rPr>
          <w:rFonts w:ascii="Calibri" w:hAnsi="Calibri" w:cs="Calibri"/>
          <w:b/>
          <w:sz w:val="22"/>
          <w:szCs w:val="22"/>
        </w:rPr>
        <w:t>a</w:t>
      </w:r>
      <w:r w:rsidR="00D15E9D" w:rsidRPr="00385EA5">
        <w:rPr>
          <w:rFonts w:ascii="Calibri" w:hAnsi="Calibri" w:cs="Calibri"/>
          <w:b/>
          <w:sz w:val="22"/>
          <w:szCs w:val="22"/>
        </w:rPr>
        <w:t xml:space="preserve"> </w:t>
      </w:r>
      <w:r w:rsidR="00D15E9D">
        <w:rPr>
          <w:rFonts w:ascii="Calibri" w:hAnsi="Calibri" w:cs="Calibri"/>
          <w:b/>
          <w:sz w:val="22"/>
          <w:szCs w:val="22"/>
        </w:rPr>
        <w:t xml:space="preserve">instalacji fotowoltaicznej o mocy 150 MW wraz z infrastrukturą towarzyszącą na działkach ewidencyjnych </w:t>
      </w:r>
      <w:r w:rsidR="00D15E9D" w:rsidRPr="00783751">
        <w:rPr>
          <w:rFonts w:ascii="Calibri" w:hAnsi="Calibri" w:cs="Calibri"/>
          <w:b/>
          <w:sz w:val="22"/>
          <w:szCs w:val="22"/>
        </w:rPr>
        <w:t xml:space="preserve">8/21, 8/22, 8/23, 8/24, 8/25, 8/26, 8/27, 8/28, 8/29, 8/30, </w:t>
      </w:r>
      <w:r w:rsidR="00D15E9D">
        <w:rPr>
          <w:rFonts w:ascii="Calibri" w:hAnsi="Calibri" w:cs="Calibri"/>
          <w:b/>
          <w:sz w:val="22"/>
          <w:szCs w:val="22"/>
        </w:rPr>
        <w:t xml:space="preserve">w obrębie geodezyjnym Kamionka </w:t>
      </w:r>
      <w:r w:rsidR="00D15E9D" w:rsidRPr="00783751">
        <w:rPr>
          <w:rFonts w:ascii="Calibri" w:hAnsi="Calibri" w:cs="Calibri"/>
          <w:b/>
          <w:sz w:val="22"/>
          <w:szCs w:val="22"/>
        </w:rPr>
        <w:t>gmina Kwidzyn, powiat Kwidzyński, województwo</w:t>
      </w:r>
      <w:r w:rsidR="00D15E9D" w:rsidRPr="00E70475">
        <w:rPr>
          <w:rFonts w:cs="Calibri"/>
        </w:rPr>
        <w:t xml:space="preserve"> </w:t>
      </w:r>
      <w:r w:rsidR="00D15E9D" w:rsidRPr="00783751">
        <w:rPr>
          <w:rFonts w:ascii="Calibri" w:hAnsi="Calibri" w:cs="Calibri"/>
          <w:b/>
          <w:sz w:val="22"/>
          <w:szCs w:val="22"/>
        </w:rPr>
        <w:t>pomorskie</w:t>
      </w:r>
      <w:r w:rsidR="00F35072">
        <w:rPr>
          <w:rFonts w:ascii="Calibri" w:hAnsi="Calibri" w:cs="Calibri"/>
          <w:b/>
          <w:sz w:val="22"/>
          <w:szCs w:val="22"/>
        </w:rPr>
        <w:t>”</w:t>
      </w:r>
    </w:p>
    <w:p w14:paraId="6C2DA894" w14:textId="07CEAF1E"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EF4D7C">
        <w:rPr>
          <w:rFonts w:ascii="Calibri" w:hAnsi="Calibri"/>
          <w:bCs/>
          <w:i w:val="0"/>
          <w:iCs w:val="0"/>
          <w:sz w:val="22"/>
          <w:szCs w:val="22"/>
        </w:rPr>
        <w:t>Charakterystyka planowanego przedsięwzięcia zg</w:t>
      </w:r>
      <w:r w:rsidR="003403F9" w:rsidRPr="00EF4D7C">
        <w:rPr>
          <w:rFonts w:ascii="Calibri" w:hAnsi="Calibri"/>
          <w:bCs/>
          <w:i w:val="0"/>
          <w:iCs w:val="0"/>
          <w:sz w:val="22"/>
          <w:szCs w:val="22"/>
        </w:rPr>
        <w:t>odnie z art. 84 ust. 2 ustawy</w:t>
      </w:r>
      <w:r w:rsidR="003403F9">
        <w:rPr>
          <w:rFonts w:asciiTheme="minorHAnsi" w:hAnsiTheme="minorHAnsi" w:cs="Calibri"/>
          <w:sz w:val="22"/>
          <w:szCs w:val="22"/>
        </w:rPr>
        <w:t xml:space="preserve">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(tekst jedn. Dz.U.2017 poz. 1405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14:paraId="2EA917C6" w14:textId="77777777"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14:paraId="78B07A9D" w14:textId="77777777" w:rsidR="0084654B" w:rsidRDefault="0084654B" w:rsidP="0084654B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576395FA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polega na budowie instalacji fotowoltaicznej o mocy do 150 MW wraz z infrastrukturą towarzyszącą. Inwestycja realizowana będzie na działkach 8/21, 8/22, 8/23, 8/24, 8/25, 8/26, 8/27, 8/28, 8/29, 8/30, obręb Kamionka, gm. Kwidzyn. Łączna powierzchnia przedmiotowych działek wynosi ok. 175,2 ha, z czego w ramach inwestycji wykorzystane zostanie </w:t>
      </w:r>
    </w:p>
    <w:p w14:paraId="227D79C1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do ok. 155 ha. Na terenie inwestycji, według mapy ewidencyjnej, występują: grunty orne RVI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 xml:space="preserve">(ok. 42,13 ha), pastwiska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PsV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,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PsVI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(ok. 121,71 ha), grunty zadrzewione i zakrzewione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Lz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(ok. 7,72 ha), łąki ŁVI (ok. 1,97 ha), lasy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LsVI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(ok. 1,27 ha) oraz nieużytki N (ok. 0,4 ha). Z terenu planowanego przedsięwzięcia wyłączone zostaną nieużytki, grunty zadrzewione i zakrzewione oraz lasy, a także fragmenty działek, które zlokalizowane są w Morawskim Obszarze Chronionego Krajobrazu. Teren pod planowaną inwestycje jest intensywnie eksploatowany rolniczo. Obecnie  teren inwestycji obsadzony jest gatunkiem obcym — topolą na cele energetyczne lub celulozę. Teren omawianej inwestycji nie jest objęty zapisami miejscowego planu zagospodarowania  przestrzennego. </w:t>
      </w:r>
    </w:p>
    <w:p w14:paraId="42B4A419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Najbliższa zabudowa mieszkaniowa znajduje się w odległości ok. 380 m na wschód oraz ok. 470 m </w:t>
      </w:r>
    </w:p>
    <w:p w14:paraId="27083BC2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na zachód od planowanej inwestycji. Kolejna zabudowa mieszkaniowa znajduje się w odległości ok. 920 m (na północ) i ok. 1,05 km (na południe) od omawianej inwestycji. </w:t>
      </w:r>
    </w:p>
    <w:p w14:paraId="01E951CE" w14:textId="77777777" w:rsidR="00D15E9D" w:rsidRPr="00D15E9D" w:rsidRDefault="00D15E9D" w:rsidP="00D15E9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>Przedsięwzięcie zlokalizowane jest na terenie, gdzie nie występują obszary wodno-błotne i tereny płytkiego zalegania wód. Przedsięwzięcie zlokalizowane jest w znacznej odległości od terenu wybrzeży. Planowane przedsięwzięcie zaprojektowano poza obszarami górskimi i leśnymi. Przedsięwzięcie zlokalizowane w znacznej odległości od stref ochronnych ujęć wody.</w:t>
      </w:r>
    </w:p>
    <w:p w14:paraId="6EF3F485" w14:textId="77777777" w:rsidR="00D15E9D" w:rsidRPr="00D15E9D" w:rsidRDefault="00D15E9D" w:rsidP="00D15E9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>Na terenie inwestycji oraz w pobliżu nie zdefiniowano obszarów dla których zostałyby przekroczone standardy jakości środowiska.</w:t>
      </w:r>
    </w:p>
    <w:p w14:paraId="1FF8845D" w14:textId="77777777" w:rsidR="00D15E9D" w:rsidRPr="00D15E9D" w:rsidRDefault="00D15E9D" w:rsidP="00D15E9D">
      <w:pPr>
        <w:widowControl/>
        <w:autoSpaceDE/>
        <w:autoSpaceDN/>
        <w:adjustRightInd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Projektowane przedsięwzięcie nie będzie położone na obszarze mającym znaczenie historyczne, kulturowe lub archeologiczne. W rejonie przedsięwzięcia gęstość zaludnienia jest bardzo niska,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>ze względu na rolniczy charakter terenu. Obszary przylegające do jezior – w najbliższej lokalizacji przedsięwzięcia nie występują jeziora. Najbliżej położonym uzdrowiskiem jest uzdrowisko Sopot. Uzdrowisko jest położone w znacznej  odległości od przedsięwzięcia w linii prostej.</w:t>
      </w:r>
    </w:p>
    <w:p w14:paraId="1BFA998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</w:p>
    <w:p w14:paraId="77DFF321" w14:textId="77777777" w:rsidR="00D15E9D" w:rsidRPr="00D15E9D" w:rsidRDefault="00D15E9D" w:rsidP="00D15E9D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Na podstawie danych z Planu gospodarowania wodami na obszarze dorzecza Wisły opublikowanym w rozporządzeniu Rady Ministrów z dnia 18 października 2016 r. poz. 1911 i 1958 stwierdzono, iż przedsięwzięcie znajduje się w regionie wodnym Dolnej Wisły, na obszarze następujących jednolitej części wód podziemnych kod:PLGW200030 –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JCWPd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>. Planowane przedsięwzięcie nie znajduje się na obszarze stref ochronnych ujęć wód ani na obszarze ochronnym zbiorników wód śródlądowych. Nie jest zlokalizowane na obszarze szczególnego zagrożenia powodzią w rozumieniu art. 16 pkt 34 ustawy z dnia 20 lipca 2017r. Prawo wodne.</w:t>
      </w:r>
    </w:p>
    <w:p w14:paraId="657F3032" w14:textId="77777777" w:rsidR="00D15E9D" w:rsidRPr="00D15E9D" w:rsidRDefault="00D15E9D" w:rsidP="00D15E9D">
      <w:pPr>
        <w:widowControl/>
        <w:autoSpaceDE/>
        <w:spacing w:line="360" w:lineRule="auto"/>
        <w:contextualSpacing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Ponadto przedsięwzięcie znajduje się w regionie wodnym Dolnej Wisły, na obszarze następujących jednolitej części wód powierzchniowych kod: PLRW2000195229 – Liwa od wypływu z jez.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Liwieniec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do ujścia. ]</w:t>
      </w:r>
    </w:p>
    <w:p w14:paraId="56AEB68D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W skład projektowanej instalacji fotowoltaicznej o mocy do 150 MW wchodzić będą następujące </w:t>
      </w:r>
    </w:p>
    <w:p w14:paraId="079E2E0C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elementy: </w:t>
      </w:r>
    </w:p>
    <w:p w14:paraId="5A592846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moduły fotowoltaiczne - na całym obszarze inwestycji planowane jest usytuowanie do ok. 454  545 paneli fotowoltaicznych o mocy 330-1000 W (lub wyższej mocy). Panele fotowoltaiczne zamontowane będą na stalowych konstrukcjach montażowych. Na panelach zostanie  zastosowana powłoka antyrefleksyjna, która ogranicza efekt lśnienia. Inwestor rozważa również zastosowanie na terenie omawianej inwestycji paneli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bi-facial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(dwustronnych). Wysokość całej konstrukcji nie przekroczy 3 m (za wyjątkiem masztów kamer, instalacji odgromowej, itp.). Poszczególne panele połączone będą ze sobą kablami solarnymi podwójnie izolowanymi   tworzącymi sekcje, </w:t>
      </w:r>
    </w:p>
    <w:p w14:paraId="296ADBD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falowniki - każda z sekcji połączona zostanie z falownikami napięcia (inwerterami) za pomocą kabli solarnych. Na całym obszarze inwestycji planowane jest usytuowanie do około 6000 falowników napięcia — liczba uzależniona będzie od wyboru rozwiązania technologicznego.  Falowniki napięcia połączone zostaną ze stacją transformatorową/rozdzielnicami SN/NN   wyposażonymi w niezbędne układy pomiarowo-zabezpieczające. </w:t>
      </w:r>
    </w:p>
    <w:p w14:paraId="037FF1B1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Opcjonalnym rozwiązaniem jest zastosowanie inwerterów centralnych lub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mikroinwerterów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podpinanych bezpośrednio pod panele fotowoltaiczne, a ich liczba uzależniona będzie od ilości paneli fotowoltaicznych, </w:t>
      </w:r>
    </w:p>
    <w:p w14:paraId="5E67C414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konstrukcja wsporcza paneli - panele fotowoltaiczne będą zamontowane na konstrukcji stalowej. Konstrukcja mocowana jest na podporach, które wbijane są kafarem w ziemię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na głębokość ok. 1,5 m w zależności od rodzaju gruntu lub mocowane systemem gruntowych kołków rozporowych. Możliwe jest również zastosowanie konstrukcji dociążonej (balastowej), </w:t>
      </w:r>
    </w:p>
    <w:p w14:paraId="4DDA169F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rozdzielnice (złącza kablowe) - na obszarze inwestycji planowane jest usytuowanie złączy kablowych, </w:t>
      </w:r>
    </w:p>
    <w:p w14:paraId="7A1489F4" w14:textId="42A2A60E" w:rsidR="00DA00AE" w:rsidRDefault="00D15E9D" w:rsidP="00D15E9D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>— stacja transformatorowo-rozdzielcza - planowane jest do około 75 stacji transformatorowo - rozdzielczych. Projektowane stacje wyposażone będą w transformator oraz rozdzielnice SN/NN.</w:t>
      </w:r>
    </w:p>
    <w:p w14:paraId="3285E0E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Planowane przedsięwzięcie zlokalizowane jest poza obszarami Natura 2000. Najbliższe obszary Natura 2000 znajdują się w odległości: </w:t>
      </w:r>
    </w:p>
    <w:p w14:paraId="55112C78" w14:textId="77777777" w:rsidR="00D15E9D" w:rsidRPr="00D15E9D" w:rsidRDefault="00D15E9D" w:rsidP="00D15E9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ok. 7,94 km Natura 2000 Dolina Dolnej Wisły PL8040003, </w:t>
      </w:r>
    </w:p>
    <w:p w14:paraId="0EE3E6CA" w14:textId="77777777" w:rsidR="00D15E9D" w:rsidRPr="00D15E9D" w:rsidRDefault="00D15E9D" w:rsidP="00D15E9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284" w:hanging="284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ok. 7,94 km Natura  2000 Dolna Wisła PLH220033. </w:t>
      </w:r>
    </w:p>
    <w:p w14:paraId="58199C2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>Położenie inwestycji na terenie antropogenicznie przekształconym, wyklucza możliwość utraty powierzchni i fragmentacji siedlisk przyrodniczych i siedlisk gatunków stanowiących przedmiot</w:t>
      </w:r>
      <w:r w:rsidRPr="00D15E9D">
        <w:rPr>
          <w:rFonts w:ascii="Times New Roman" w:hAnsi="Times New Roman" w:cs="Times New Roman"/>
          <w:i w:val="0"/>
          <w:iCs w:val="0"/>
          <w:sz w:val="24"/>
        </w:rPr>
        <w:t xml:space="preserve">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ochrony w ww. obszarów Natura 2000. Mając na uwadze położenie geograficzne oraz skalę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 xml:space="preserve">i charakter przedsięwzięcia, nie ma podstaw przypuszczać, aby realizacja inwestycji mogła również </w:t>
      </w:r>
    </w:p>
    <w:p w14:paraId="6987D2DD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spowodować pogorszenie stanu siedlisk przyrodniczych lub siedlisk gatunków roślin i zwierząt,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 xml:space="preserve">dla których ochrony zostały wyznaczone ww. obszary Natura 2000, wpłynąć negatywnie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 xml:space="preserve">na gatunki, dla których obszary ochrony zostały wyznaczone, pogorszyć integralność obszarów  Natura  2000  lub ich powiązania  z innymi obszarami. </w:t>
      </w:r>
    </w:p>
    <w:p w14:paraId="1AB1548F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Teren inwestycji usytuowany jest częściowo w obszarze Morawskiego Obszaru Chronionego Krajobrazu, gdzie obowiązują przepisy uchwały nr 259/XXIV/16 Sejmiku Województwa Pomorskiego z dnia 25 lipca 2016 r. w sprawie obszarów chronionego krajobrazu w województwie </w:t>
      </w:r>
    </w:p>
    <w:p w14:paraId="2005B77C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pomorskim (Dz. Urz. Woj. Pom. z 2016 r. poz. 2942). </w:t>
      </w:r>
    </w:p>
    <w:p w14:paraId="165CD91B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Zgodnie z § 5 pkt 2) ww. uchwały na obszarach chronionego krajobrazu wprowadza się zakaz realizacji przedsięwzięć mogących znacząco oddziaływać na środowisko w rozumieniu przepisów </w:t>
      </w:r>
    </w:p>
    <w:p w14:paraId="0301981C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ustawy OOŚ. Zakaz ten nie dotyczy zgodnie z § 7 ust. 2 ww. uchwały: </w:t>
      </w:r>
    </w:p>
    <w:p w14:paraId="6F351F98" w14:textId="77777777" w:rsidR="00D15E9D" w:rsidRPr="00D15E9D" w:rsidRDefault="00D15E9D" w:rsidP="00D15E9D">
      <w:pPr>
        <w:widowControl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tab/>
        <w:t xml:space="preserve">realizacji przedsięwzięć mogących znacząco oddziaływać na środowisko, dla których przeprowadzona ocena oddziaływania na środowisko wykazała brak znacząco negatywnego oddziaływania na środowisko przyrodnicze; </w:t>
      </w:r>
    </w:p>
    <w:p w14:paraId="6409F79D" w14:textId="77777777" w:rsidR="00D15E9D" w:rsidRPr="00D15E9D" w:rsidRDefault="00D15E9D" w:rsidP="00D15E9D">
      <w:pPr>
        <w:widowControl/>
        <w:spacing w:line="360" w:lineRule="auto"/>
        <w:ind w:left="567" w:hanging="567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tab/>
        <w:t xml:space="preserve">realizacji przedsięwzięć potencjalnie mogących znacząco oddziaływać na środowisko, </w:t>
      </w:r>
      <w:r w:rsidRPr="00D15E9D">
        <w:rPr>
          <w:rFonts w:ascii="Calibri" w:hAnsi="Calibri" w:cs="Calibri"/>
          <w:i w:val="0"/>
          <w:iCs w:val="0"/>
          <w:sz w:val="22"/>
          <w:szCs w:val="22"/>
        </w:rPr>
        <w:br/>
        <w:t xml:space="preserve">dla których organ ochrony środowiska stwierdził brak konieczności przeprowadzenia oceny przedsięwzięcia na środowisko. </w:t>
      </w:r>
    </w:p>
    <w:p w14:paraId="6F8C1F1C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Planowana inwestycja znajduje się poza granicami pozostałych obszarów chronionych objętych ochroną na podstawie przepisów ww. ustawy z dnia 16 kwietnia 2004 r. o ochronie przyrody (tekst jednolity Dz. U. z  2021 r., poz. 1098 ze zm.). Najbliższe formy  ochrony  przyrody znajdują się w odległości: </w:t>
      </w:r>
    </w:p>
    <w:p w14:paraId="6D925A5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lastRenderedPageBreak/>
        <w:t xml:space="preserve">— ok. 2,83 km </w:t>
      </w:r>
      <w:proofErr w:type="spellStart"/>
      <w:r w:rsidRPr="00D15E9D">
        <w:rPr>
          <w:rFonts w:ascii="Calibri" w:hAnsi="Calibri" w:cs="Calibri"/>
          <w:i w:val="0"/>
          <w:iCs w:val="0"/>
          <w:sz w:val="22"/>
          <w:szCs w:val="22"/>
        </w:rPr>
        <w:t>Sadliński</w:t>
      </w:r>
      <w:proofErr w:type="spellEnd"/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 Obszar Chronionego Krajobrazu, </w:t>
      </w:r>
    </w:p>
    <w:p w14:paraId="22A00463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ok. 3,39 km rezerwat przyrody „Kwidzyńskie Ostnice", </w:t>
      </w:r>
    </w:p>
    <w:p w14:paraId="6FD50288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ok. 3,84 km Ryjewski Obszar Chronionego Krajobrazu, </w:t>
      </w:r>
    </w:p>
    <w:p w14:paraId="59CF20ED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— ok. 8,0 km Obszar Chronionego Krajobrazu Doliny Kwidzyńskiej. </w:t>
      </w:r>
    </w:p>
    <w:p w14:paraId="7A2F184F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Obszar objęty planowaną inwestycją zlokalizowany jest w obszarze korytarza ekologicznego —Lasy Iławskie - Bory Tucholskie GKPn-14A. Realizacja inwestycji nie wpłynie negatywnie na ciągłość </w:t>
      </w:r>
    </w:p>
    <w:p w14:paraId="7BC48455" w14:textId="77777777" w:rsidR="00D15E9D" w:rsidRPr="00D15E9D" w:rsidRDefault="00D15E9D" w:rsidP="00D15E9D">
      <w:pPr>
        <w:widowControl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D15E9D">
        <w:rPr>
          <w:rFonts w:ascii="Calibri" w:hAnsi="Calibri" w:cs="Calibri"/>
          <w:i w:val="0"/>
          <w:iCs w:val="0"/>
          <w:sz w:val="22"/>
          <w:szCs w:val="22"/>
        </w:rPr>
        <w:t xml:space="preserve">i drożność ww. korytarza ekologicznego. </w:t>
      </w:r>
    </w:p>
    <w:p w14:paraId="4F52B210" w14:textId="77777777" w:rsidR="00D15E9D" w:rsidRPr="005A3D53" w:rsidRDefault="00D15E9D" w:rsidP="00D15E9D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GoBack"/>
      <w:bookmarkEnd w:id="0"/>
    </w:p>
    <w:sectPr w:rsidR="00D15E9D" w:rsidRPr="005A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573"/>
    <w:multiLevelType w:val="hybridMultilevel"/>
    <w:tmpl w:val="07EC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C28"/>
    <w:multiLevelType w:val="hybridMultilevel"/>
    <w:tmpl w:val="C338DD5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E55B9"/>
    <w:multiLevelType w:val="hybridMultilevel"/>
    <w:tmpl w:val="D71CF5E6"/>
    <w:lvl w:ilvl="0" w:tplc="02B2B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36C3F"/>
    <w:multiLevelType w:val="hybridMultilevel"/>
    <w:tmpl w:val="E0A6C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00AF1"/>
    <w:multiLevelType w:val="hybridMultilevel"/>
    <w:tmpl w:val="9800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7531"/>
    <w:multiLevelType w:val="hybridMultilevel"/>
    <w:tmpl w:val="FB020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42584"/>
    <w:multiLevelType w:val="hybridMultilevel"/>
    <w:tmpl w:val="C5D615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12B9F"/>
    <w:rsid w:val="000215C9"/>
    <w:rsid w:val="00077303"/>
    <w:rsid w:val="000A1B0A"/>
    <w:rsid w:val="000C3EE3"/>
    <w:rsid w:val="000D0A43"/>
    <w:rsid w:val="001447A7"/>
    <w:rsid w:val="001626F4"/>
    <w:rsid w:val="00172C43"/>
    <w:rsid w:val="001F2A93"/>
    <w:rsid w:val="00211234"/>
    <w:rsid w:val="00213D22"/>
    <w:rsid w:val="00245D4E"/>
    <w:rsid w:val="00281477"/>
    <w:rsid w:val="002A7C79"/>
    <w:rsid w:val="003403F9"/>
    <w:rsid w:val="0035188C"/>
    <w:rsid w:val="00351E51"/>
    <w:rsid w:val="00383B24"/>
    <w:rsid w:val="003A66AF"/>
    <w:rsid w:val="003E0CD4"/>
    <w:rsid w:val="00520504"/>
    <w:rsid w:val="005239C8"/>
    <w:rsid w:val="005A3D53"/>
    <w:rsid w:val="00640AE3"/>
    <w:rsid w:val="006436B8"/>
    <w:rsid w:val="006A53BF"/>
    <w:rsid w:val="006E7441"/>
    <w:rsid w:val="006F2E4E"/>
    <w:rsid w:val="00750558"/>
    <w:rsid w:val="007C2A12"/>
    <w:rsid w:val="007F24FE"/>
    <w:rsid w:val="0084654B"/>
    <w:rsid w:val="00850185"/>
    <w:rsid w:val="008E799E"/>
    <w:rsid w:val="008F364B"/>
    <w:rsid w:val="0091318D"/>
    <w:rsid w:val="009378AE"/>
    <w:rsid w:val="0095340C"/>
    <w:rsid w:val="00977519"/>
    <w:rsid w:val="009A7DC7"/>
    <w:rsid w:val="009B0DBA"/>
    <w:rsid w:val="009B5934"/>
    <w:rsid w:val="009B6C9B"/>
    <w:rsid w:val="009C117B"/>
    <w:rsid w:val="009D740F"/>
    <w:rsid w:val="00A04CA9"/>
    <w:rsid w:val="00A06B09"/>
    <w:rsid w:val="00A2667A"/>
    <w:rsid w:val="00B73CA3"/>
    <w:rsid w:val="00BC5470"/>
    <w:rsid w:val="00C15C01"/>
    <w:rsid w:val="00C77FEC"/>
    <w:rsid w:val="00CA4D7B"/>
    <w:rsid w:val="00CC0094"/>
    <w:rsid w:val="00CD31D6"/>
    <w:rsid w:val="00D15E9D"/>
    <w:rsid w:val="00D22F9B"/>
    <w:rsid w:val="00D76DC1"/>
    <w:rsid w:val="00D9258B"/>
    <w:rsid w:val="00DA00AE"/>
    <w:rsid w:val="00DA5D71"/>
    <w:rsid w:val="00E414CA"/>
    <w:rsid w:val="00E43991"/>
    <w:rsid w:val="00E54D5F"/>
    <w:rsid w:val="00E62623"/>
    <w:rsid w:val="00EC35AC"/>
    <w:rsid w:val="00EF4D7C"/>
    <w:rsid w:val="00F05A52"/>
    <w:rsid w:val="00F3507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8B2-C743-4A00-8543-26E338F1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2018-12-12T13:27:00Z</cp:lastPrinted>
  <dcterms:created xsi:type="dcterms:W3CDTF">2022-04-28T08:13:00Z</dcterms:created>
  <dcterms:modified xsi:type="dcterms:W3CDTF">2022-04-28T08:13:00Z</dcterms:modified>
</cp:coreProperties>
</file>